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C70D" w14:textId="02E55377" w:rsidR="005419FB" w:rsidRDefault="00046F44" w:rsidP="00C779D6">
      <w:pPr>
        <w:pStyle w:val="TYTDZPRZEDMprzedmiotregulacjitytuulubdziau"/>
        <w:spacing w:after="120"/>
      </w:pPr>
      <w:bookmarkStart w:id="0" w:name="_GoBack"/>
      <w:bookmarkEnd w:id="0"/>
      <w:r w:rsidRPr="00564140">
        <w:t>UZASADNIENIE</w:t>
      </w:r>
    </w:p>
    <w:p w14:paraId="155C6804" w14:textId="77777777" w:rsidR="00046F44" w:rsidRDefault="00046F44" w:rsidP="00C779D6">
      <w:pPr>
        <w:pStyle w:val="ARTartustawynprozporzdzenia"/>
        <w:spacing w:after="120"/>
      </w:pPr>
    </w:p>
    <w:p w14:paraId="1B61AE4F" w14:textId="00B15EA6" w:rsidR="00C7268A" w:rsidRDefault="005419FB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bCs w:val="0"/>
        </w:rPr>
      </w:pPr>
      <w:r>
        <w:rPr>
          <w:rStyle w:val="Ppogrubienie"/>
        </w:rPr>
        <w:t>I.</w:t>
      </w:r>
      <w:r w:rsidRPr="004C4E9E">
        <w:rPr>
          <w:rStyle w:val="Ppogrubienie"/>
        </w:rPr>
        <w:tab/>
        <w:t xml:space="preserve">Wyjaśnienie potrzeby i celu </w:t>
      </w:r>
      <w:r w:rsidR="008A55F9">
        <w:rPr>
          <w:rStyle w:val="Ppogrubienie"/>
        </w:rPr>
        <w:t>zmiany</w:t>
      </w:r>
      <w:r w:rsidRPr="004C4E9E">
        <w:rPr>
          <w:rStyle w:val="Ppogrubienie"/>
        </w:rPr>
        <w:t xml:space="preserve"> rozporządzenia</w:t>
      </w:r>
    </w:p>
    <w:p w14:paraId="3D63E62D" w14:textId="5222D45C" w:rsidR="001D3E2B" w:rsidRPr="00DE5D9A" w:rsidRDefault="00244DDB" w:rsidP="001D3E2B">
      <w:pPr>
        <w:pStyle w:val="NIEARTTEKSTtekstnieartykuowanynppodstprawnarozplubpreambua"/>
        <w:tabs>
          <w:tab w:val="left" w:pos="0"/>
        </w:tabs>
        <w:spacing w:after="120"/>
        <w:ind w:firstLine="0"/>
        <w:rPr>
          <w:rFonts w:ascii="Times New Roman" w:hAnsi="Times New Roman" w:cs="Times New Roman"/>
          <w:color w:val="000000" w:themeColor="text1"/>
          <w:szCs w:val="24"/>
        </w:rPr>
      </w:pPr>
      <w:r w:rsidRPr="00AC1F33">
        <w:rPr>
          <w:rFonts w:ascii="Times New Roman" w:hAnsi="Times New Roman" w:cs="Times New Roman"/>
          <w:color w:val="000000" w:themeColor="text1"/>
          <w:szCs w:val="24"/>
        </w:rPr>
        <w:t xml:space="preserve">Celem </w:t>
      </w:r>
      <w:bookmarkStart w:id="1" w:name="_Hlk129604135"/>
      <w:bookmarkStart w:id="2" w:name="_Hlk129606964"/>
      <w:r w:rsidR="005C5D99">
        <w:rPr>
          <w:rFonts w:ascii="Times New Roman" w:hAnsi="Times New Roman" w:cs="Times New Roman"/>
          <w:color w:val="000000" w:themeColor="text1"/>
          <w:szCs w:val="24"/>
        </w:rPr>
        <w:t>nowelizacji</w:t>
      </w:r>
      <w:r w:rsidR="005C5D99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4581B" w:rsidRPr="00AC1F33">
        <w:rPr>
          <w:rFonts w:ascii="Times New Roman" w:hAnsi="Times New Roman" w:cs="Times New Roman"/>
          <w:color w:val="000000" w:themeColor="text1"/>
          <w:szCs w:val="24"/>
        </w:rPr>
        <w:t xml:space="preserve">rozporządzenia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Ministra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Infrastruktury i Rozwoju </w:t>
      </w:r>
      <w:bookmarkStart w:id="3" w:name="_Hlk129010868"/>
      <w:r w:rsidR="00D05DBE">
        <w:rPr>
          <w:rFonts w:ascii="Times New Roman" w:hAnsi="Times New Roman" w:cs="Times New Roman"/>
          <w:color w:val="000000" w:themeColor="text1"/>
          <w:szCs w:val="24"/>
        </w:rPr>
        <w:t xml:space="preserve">z dnia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11 września</w:t>
      </w:r>
      <w:r w:rsidR="00D05DB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779D6">
        <w:rPr>
          <w:rFonts w:ascii="Times New Roman" w:hAnsi="Times New Roman" w:cs="Times New Roman"/>
          <w:color w:val="000000" w:themeColor="text1"/>
          <w:szCs w:val="24"/>
        </w:rPr>
        <w:br/>
      </w:r>
      <w:r w:rsidR="00D05DBE">
        <w:rPr>
          <w:rFonts w:ascii="Times New Roman" w:hAnsi="Times New Roman" w:cs="Times New Roman"/>
          <w:color w:val="000000" w:themeColor="text1"/>
          <w:szCs w:val="24"/>
        </w:rPr>
        <w:t>201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4</w:t>
      </w:r>
      <w:r w:rsidR="00D05DBE">
        <w:rPr>
          <w:rFonts w:ascii="Times New Roman" w:hAnsi="Times New Roman" w:cs="Times New Roman"/>
          <w:color w:val="000000" w:themeColor="text1"/>
          <w:szCs w:val="24"/>
        </w:rPr>
        <w:t xml:space="preserve"> r.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w sprawie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warunków eksploatacji lotnisk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bookmarkEnd w:id="3"/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>(Dz.</w:t>
      </w:r>
      <w:r w:rsidR="00E1087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U. z </w:t>
      </w:r>
      <w:r w:rsidR="00FD551C" w:rsidRPr="00AC1F33">
        <w:rPr>
          <w:rFonts w:ascii="Times New Roman" w:hAnsi="Times New Roman" w:cs="Times New Roman"/>
          <w:color w:val="000000" w:themeColor="text1"/>
          <w:szCs w:val="24"/>
        </w:rPr>
        <w:t>20</w:t>
      </w:r>
      <w:r w:rsidR="00FD551C">
        <w:rPr>
          <w:rFonts w:ascii="Times New Roman" w:hAnsi="Times New Roman" w:cs="Times New Roman"/>
          <w:color w:val="000000" w:themeColor="text1"/>
          <w:szCs w:val="24"/>
        </w:rPr>
        <w:t>23</w:t>
      </w:r>
      <w:r w:rsidR="00FD551C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r. poz.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1014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>)</w:t>
      </w:r>
      <w:r w:rsidR="00356843">
        <w:rPr>
          <w:rFonts w:ascii="Times New Roman" w:hAnsi="Times New Roman" w:cs="Times New Roman"/>
          <w:color w:val="000000" w:themeColor="text1"/>
          <w:szCs w:val="24"/>
        </w:rPr>
        <w:t>,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bookmarkEnd w:id="1"/>
      <w:bookmarkEnd w:id="2"/>
      <w:r w:rsidR="0084581B" w:rsidRPr="00AC1F33">
        <w:rPr>
          <w:rFonts w:ascii="Times New Roman" w:hAnsi="Times New Roman" w:cs="Times New Roman"/>
          <w:color w:val="000000" w:themeColor="text1"/>
          <w:szCs w:val="24"/>
        </w:rPr>
        <w:t xml:space="preserve">jest </w:t>
      </w:r>
      <w:bookmarkStart w:id="4" w:name="_Hlk129604194"/>
      <w:bookmarkStart w:id="5" w:name="_Hlk129607522"/>
      <w:r w:rsidR="003807F0">
        <w:rPr>
          <w:rFonts w:ascii="Times New Roman" w:hAnsi="Times New Roman" w:cs="Times New Roman"/>
          <w:color w:val="000000" w:themeColor="text1"/>
          <w:szCs w:val="24"/>
        </w:rPr>
        <w:t>zmiana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 wymagań dotyczących </w:t>
      </w:r>
      <w:r w:rsidR="006E3B86">
        <w:rPr>
          <w:rFonts w:ascii="Times New Roman" w:hAnsi="Times New Roman" w:cs="Times New Roman"/>
          <w:color w:val="000000" w:themeColor="text1"/>
          <w:szCs w:val="24"/>
        </w:rPr>
        <w:t>zapewnienia udzielenia niezbędnej pomocy medycznej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 na lotniskach </w:t>
      </w:r>
      <w:r w:rsidR="006666B7">
        <w:rPr>
          <w:rFonts w:ascii="Times New Roman" w:hAnsi="Times New Roman" w:cs="Times New Roman"/>
          <w:color w:val="000000" w:themeColor="text1"/>
          <w:szCs w:val="24"/>
        </w:rPr>
        <w:t>przez</w:t>
      </w:r>
      <w:r w:rsidR="00A36C4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04832">
        <w:rPr>
          <w:rFonts w:ascii="Times New Roman" w:hAnsi="Times New Roman" w:cs="Times New Roman"/>
          <w:color w:val="000000" w:themeColor="text1"/>
          <w:szCs w:val="24"/>
        </w:rPr>
        <w:t>umożliwienie zarządzającym lotniskami</w:t>
      </w:r>
      <w:r w:rsidR="006666B7">
        <w:rPr>
          <w:rFonts w:ascii="Times New Roman" w:hAnsi="Times New Roman" w:cs="Times New Roman"/>
          <w:color w:val="000000" w:themeColor="text1"/>
          <w:szCs w:val="24"/>
        </w:rPr>
        <w:t xml:space="preserve"> stosowania elastycznego</w:t>
      </w:r>
      <w:r w:rsidR="0030483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666B7">
        <w:rPr>
          <w:rFonts w:ascii="Times New Roman" w:hAnsi="Times New Roman" w:cs="Times New Roman"/>
          <w:color w:val="000000" w:themeColor="text1"/>
          <w:szCs w:val="24"/>
        </w:rPr>
        <w:t>podejścia</w:t>
      </w:r>
      <w:r w:rsidR="00A313E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D1F35">
        <w:rPr>
          <w:rFonts w:ascii="Times New Roman" w:hAnsi="Times New Roman" w:cs="Times New Roman"/>
          <w:color w:val="000000" w:themeColor="text1"/>
          <w:szCs w:val="24"/>
        </w:rPr>
        <w:br/>
      </w:r>
      <w:r w:rsidR="00CF6536">
        <w:rPr>
          <w:rFonts w:ascii="Times New Roman" w:hAnsi="Times New Roman" w:cs="Times New Roman"/>
          <w:color w:val="000000" w:themeColor="text1"/>
          <w:szCs w:val="24"/>
        </w:rPr>
        <w:t xml:space="preserve">do </w:t>
      </w:r>
      <w:r w:rsidR="006666B7">
        <w:rPr>
          <w:rFonts w:ascii="Times New Roman" w:hAnsi="Times New Roman" w:cs="Times New Roman"/>
          <w:color w:val="000000" w:themeColor="text1"/>
          <w:szCs w:val="24"/>
        </w:rPr>
        <w:t>organizacji i</w:t>
      </w:r>
      <w:r w:rsidR="00A313E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6C4E">
        <w:rPr>
          <w:rFonts w:ascii="Times New Roman" w:hAnsi="Times New Roman" w:cs="Times New Roman"/>
          <w:color w:val="000000" w:themeColor="text1"/>
          <w:szCs w:val="24"/>
        </w:rPr>
        <w:t>dostosow</w:t>
      </w:r>
      <w:r w:rsidR="00A313EB">
        <w:rPr>
          <w:rFonts w:ascii="Times New Roman" w:hAnsi="Times New Roman" w:cs="Times New Roman"/>
          <w:color w:val="000000" w:themeColor="text1"/>
          <w:szCs w:val="24"/>
        </w:rPr>
        <w:t>ywani</w:t>
      </w:r>
      <w:r w:rsidR="00CF6536">
        <w:rPr>
          <w:rFonts w:ascii="Times New Roman" w:hAnsi="Times New Roman" w:cs="Times New Roman"/>
          <w:color w:val="000000" w:themeColor="text1"/>
          <w:szCs w:val="24"/>
        </w:rPr>
        <w:t>a</w:t>
      </w:r>
      <w:r w:rsidR="00304832">
        <w:rPr>
          <w:rFonts w:ascii="Times New Roman" w:hAnsi="Times New Roman" w:cs="Times New Roman"/>
          <w:color w:val="000000" w:themeColor="text1"/>
          <w:szCs w:val="24"/>
        </w:rPr>
        <w:t xml:space="preserve"> zapewnianych sił i środków</w:t>
      </w:r>
      <w:r w:rsidR="001356A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04832">
        <w:rPr>
          <w:rFonts w:ascii="Times New Roman" w:hAnsi="Times New Roman" w:cs="Times New Roman"/>
          <w:color w:val="000000" w:themeColor="text1"/>
          <w:szCs w:val="24"/>
        </w:rPr>
        <w:t xml:space="preserve">do realnych potrzeb, które </w:t>
      </w:r>
      <w:r w:rsidR="00FD1F35">
        <w:rPr>
          <w:rFonts w:ascii="Times New Roman" w:hAnsi="Times New Roman" w:cs="Times New Roman"/>
          <w:color w:val="000000" w:themeColor="text1"/>
          <w:szCs w:val="24"/>
        </w:rPr>
        <w:br/>
      </w:r>
      <w:r w:rsidR="00304832">
        <w:rPr>
          <w:rFonts w:ascii="Times New Roman" w:hAnsi="Times New Roman" w:cs="Times New Roman"/>
          <w:color w:val="000000" w:themeColor="text1"/>
          <w:szCs w:val="24"/>
        </w:rPr>
        <w:t xml:space="preserve">w zależności od charakterystyki lotniska mogą się różnić. </w:t>
      </w:r>
      <w:r w:rsidR="006666B7">
        <w:rPr>
          <w:rFonts w:ascii="Times New Roman" w:hAnsi="Times New Roman" w:cs="Times New Roman"/>
          <w:color w:val="000000" w:themeColor="text1"/>
          <w:szCs w:val="24"/>
        </w:rPr>
        <w:t xml:space="preserve">Takie podejście pozwoli na </w:t>
      </w:r>
      <w:r w:rsidR="00CF6536">
        <w:rPr>
          <w:rFonts w:ascii="Times New Roman" w:hAnsi="Times New Roman" w:cs="Times New Roman"/>
          <w:color w:val="000000" w:themeColor="text1"/>
          <w:szCs w:val="24"/>
        </w:rPr>
        <w:t>realną ocenę ryzyka i identyfikację zagrożeń</w:t>
      </w:r>
      <w:r w:rsidR="006404BE">
        <w:rPr>
          <w:rFonts w:ascii="Times New Roman" w:hAnsi="Times New Roman" w:cs="Times New Roman"/>
          <w:color w:val="000000" w:themeColor="text1"/>
          <w:szCs w:val="24"/>
        </w:rPr>
        <w:t>,</w:t>
      </w:r>
      <w:r w:rsidR="00CF653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E3B86">
        <w:rPr>
          <w:rFonts w:ascii="Times New Roman" w:hAnsi="Times New Roman" w:cs="Times New Roman"/>
          <w:color w:val="000000" w:themeColor="text1"/>
          <w:szCs w:val="24"/>
        </w:rPr>
        <w:t xml:space="preserve">które wiążą się z koniecznością udzielania niezbędnej pomocy medycznej </w:t>
      </w:r>
      <w:r w:rsidR="00CF6536">
        <w:rPr>
          <w:rFonts w:ascii="Times New Roman" w:hAnsi="Times New Roman" w:cs="Times New Roman"/>
          <w:color w:val="000000" w:themeColor="text1"/>
          <w:szCs w:val="24"/>
        </w:rPr>
        <w:t xml:space="preserve">w odniesieniu do każdego </w:t>
      </w:r>
      <w:r w:rsidR="006E3B86">
        <w:rPr>
          <w:rFonts w:ascii="Times New Roman" w:hAnsi="Times New Roman" w:cs="Times New Roman"/>
          <w:color w:val="000000" w:themeColor="text1"/>
          <w:szCs w:val="24"/>
        </w:rPr>
        <w:t>lotniska</w:t>
      </w:r>
      <w:r w:rsidR="00CF6536">
        <w:rPr>
          <w:rFonts w:ascii="Times New Roman" w:hAnsi="Times New Roman" w:cs="Times New Roman"/>
          <w:color w:val="000000" w:themeColor="text1"/>
          <w:szCs w:val="24"/>
        </w:rPr>
        <w:t xml:space="preserve">, przy jednoczesnym zachowaniu najwyższego poziomu bezpieczeństwa i racjonalizacji kosztów. </w:t>
      </w:r>
    </w:p>
    <w:bookmarkEnd w:id="4"/>
    <w:bookmarkEnd w:id="5"/>
    <w:p w14:paraId="0DB3E76D" w14:textId="45E96BFE" w:rsidR="00C313A4" w:rsidRDefault="005419FB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b w:val="0"/>
          <w:bCs w:val="0"/>
        </w:rPr>
      </w:pPr>
      <w:r>
        <w:rPr>
          <w:rStyle w:val="Ppogrubienie"/>
        </w:rPr>
        <w:t>II.</w:t>
      </w:r>
      <w:r w:rsidRPr="004C4E9E">
        <w:rPr>
          <w:rStyle w:val="Ppogrubienie"/>
        </w:rPr>
        <w:tab/>
        <w:t>Przedstawienie rzeczywistego (faktycznego) stanu w dziedzinie, która ma zostać uregulowana</w:t>
      </w:r>
    </w:p>
    <w:p w14:paraId="282D421B" w14:textId="215748BC" w:rsidR="0027344B" w:rsidRDefault="00EB4EE2" w:rsidP="00C779D6">
      <w:pPr>
        <w:pStyle w:val="ARTartustawynprozporzdzenia"/>
        <w:spacing w:after="120"/>
        <w:ind w:firstLine="0"/>
        <w:rPr>
          <w:rStyle w:val="Ppogrubienie"/>
          <w:b w:val="0"/>
          <w:bCs/>
        </w:rPr>
      </w:pPr>
      <w:r>
        <w:rPr>
          <w:rStyle w:val="Ppogrubienie"/>
          <w:b w:val="0"/>
        </w:rPr>
        <w:t>Obecnie</w:t>
      </w:r>
      <w:r w:rsidR="0027344B">
        <w:rPr>
          <w:rStyle w:val="Ppogrubienie"/>
          <w:b w:val="0"/>
        </w:rPr>
        <w:t xml:space="preserve"> obowiązujące</w:t>
      </w:r>
      <w:r>
        <w:rPr>
          <w:rStyle w:val="Ppogrubienie"/>
          <w:b w:val="0"/>
        </w:rPr>
        <w:t xml:space="preserve"> przepisy</w:t>
      </w:r>
      <w:r w:rsidR="005166B9">
        <w:rPr>
          <w:rStyle w:val="Ppogrubienie"/>
          <w:b w:val="0"/>
        </w:rPr>
        <w:t xml:space="preserve"> w zakresie lotnisk, o których mowa w art. 59a ust. 1 pkt 1 i 2 ustawy </w:t>
      </w:r>
      <w:r w:rsidR="005E4B02">
        <w:rPr>
          <w:rStyle w:val="Ppogrubienie"/>
          <w:b w:val="0"/>
        </w:rPr>
        <w:t xml:space="preserve">z dnia 3 lipca 2002 r. </w:t>
      </w:r>
      <w:r w:rsidR="005166B9">
        <w:rPr>
          <w:rStyle w:val="Ppogrubienie"/>
          <w:b w:val="0"/>
        </w:rPr>
        <w:t>– Pr</w:t>
      </w:r>
      <w:r w:rsidR="004C39D3">
        <w:rPr>
          <w:rStyle w:val="Ppogrubienie"/>
          <w:b w:val="0"/>
        </w:rPr>
        <w:t>a</w:t>
      </w:r>
      <w:r w:rsidR="005166B9">
        <w:rPr>
          <w:rStyle w:val="Ppogrubienie"/>
          <w:b w:val="0"/>
        </w:rPr>
        <w:t>wo lotnicze</w:t>
      </w:r>
      <w:r w:rsidR="005E4B02">
        <w:rPr>
          <w:rStyle w:val="Ppogrubienie"/>
          <w:b w:val="0"/>
        </w:rPr>
        <w:t xml:space="preserve"> (Dz. U. z 2023 r. poz. 2110, z </w:t>
      </w:r>
      <w:proofErr w:type="spellStart"/>
      <w:r w:rsidR="005E4B02">
        <w:rPr>
          <w:rStyle w:val="Ppogrubienie"/>
          <w:b w:val="0"/>
        </w:rPr>
        <w:t>późn</w:t>
      </w:r>
      <w:proofErr w:type="spellEnd"/>
      <w:r w:rsidR="005E4B02">
        <w:rPr>
          <w:rStyle w:val="Ppogrubienie"/>
          <w:b w:val="0"/>
        </w:rPr>
        <w:t>. zm.)</w:t>
      </w:r>
      <w:r w:rsidR="005166B9">
        <w:rPr>
          <w:rStyle w:val="Ppogrubienie"/>
          <w:b w:val="0"/>
        </w:rPr>
        <w:t xml:space="preserve">, </w:t>
      </w:r>
      <w:r>
        <w:rPr>
          <w:rStyle w:val="Ppogrubienie"/>
          <w:b w:val="0"/>
        </w:rPr>
        <w:t>warunkują zakres zabezpieczenia medycznego</w:t>
      </w:r>
      <w:r w:rsidR="00006C8B">
        <w:rPr>
          <w:rStyle w:val="Ppogrubienie"/>
          <w:b w:val="0"/>
        </w:rPr>
        <w:t xml:space="preserve"> i udzielanej pierwszej pomocy</w:t>
      </w:r>
      <w:r>
        <w:rPr>
          <w:rStyle w:val="Ppogrubienie"/>
          <w:b w:val="0"/>
        </w:rPr>
        <w:t xml:space="preserve"> na lotniskach </w:t>
      </w:r>
      <w:r w:rsidR="00C04E93">
        <w:rPr>
          <w:rStyle w:val="Ppogrubienie"/>
          <w:b w:val="0"/>
        </w:rPr>
        <w:br/>
      </w:r>
      <w:r>
        <w:rPr>
          <w:rStyle w:val="Ppogrubienie"/>
          <w:b w:val="0"/>
        </w:rPr>
        <w:t>od średniej kroczącej liczby obsłużonych pasażerów obejmujące</w:t>
      </w:r>
      <w:r w:rsidR="00493736">
        <w:rPr>
          <w:rStyle w:val="Ppogrubienie"/>
          <w:b w:val="0"/>
        </w:rPr>
        <w:t>j</w:t>
      </w:r>
      <w:r>
        <w:rPr>
          <w:rStyle w:val="Ppogrubienie"/>
          <w:b w:val="0"/>
        </w:rPr>
        <w:t xml:space="preserve"> każde kolejne 365 dni.</w:t>
      </w:r>
    </w:p>
    <w:p w14:paraId="26AE4C04" w14:textId="73FF7B28" w:rsidR="00CF6536" w:rsidRDefault="00EB4EE2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>
        <w:rPr>
          <w:rStyle w:val="Ppogrubienie"/>
          <w:b w:val="0"/>
        </w:rPr>
        <w:t xml:space="preserve">Przepisy </w:t>
      </w:r>
      <w:r w:rsidR="00C04E93">
        <w:rPr>
          <w:rStyle w:val="Ppogrubienie"/>
          <w:b w:val="0"/>
        </w:rPr>
        <w:t xml:space="preserve">regulują </w:t>
      </w:r>
      <w:r>
        <w:rPr>
          <w:rStyle w:val="Ppogrubienie"/>
          <w:b w:val="0"/>
        </w:rPr>
        <w:t xml:space="preserve">szczegółowo zakres zapewnianego zabezpieczenia medycznego, </w:t>
      </w:r>
      <w:r w:rsidR="00653818">
        <w:rPr>
          <w:rStyle w:val="Ppogrubienie"/>
          <w:b w:val="0"/>
        </w:rPr>
        <w:br/>
      </w:r>
      <w:r w:rsidR="0008646B">
        <w:rPr>
          <w:rStyle w:val="Ppogrubienie"/>
          <w:b w:val="0"/>
        </w:rPr>
        <w:t>w tym między innymi wymagania dotyczące zapewniania pierwszej pomocy, zespołów wyjazdowych podstawowych i specjalistycznych oraz ambulatoriów. Zakres zapewnianego zabezpieczenia medycznego na lotniskach uzależniony jest od liczby obsługiwanych pasażerów. Przepisy wyszczególniają również minimalne wyposażenie medyczne na lotnisku służące do zabezpieczenia zdarzenia masowego.</w:t>
      </w:r>
    </w:p>
    <w:p w14:paraId="40103CA0" w14:textId="2E9C0145" w:rsidR="00856D08" w:rsidRDefault="005419FB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</w:rPr>
      </w:pPr>
      <w:r>
        <w:rPr>
          <w:rStyle w:val="Ppogrubienie"/>
        </w:rPr>
        <w:t>III.</w:t>
      </w:r>
      <w:r w:rsidRPr="004C4E9E">
        <w:rPr>
          <w:rStyle w:val="Ppogrubienie"/>
        </w:rPr>
        <w:tab/>
        <w:t>Wskazani</w:t>
      </w:r>
      <w:r>
        <w:rPr>
          <w:rStyle w:val="Ppogrubienie"/>
        </w:rPr>
        <w:t>e</w:t>
      </w:r>
      <w:r w:rsidRPr="004C4E9E">
        <w:rPr>
          <w:rStyle w:val="Ppogrubienie"/>
        </w:rPr>
        <w:t xml:space="preserve"> różnic między dotychczasowym a</w:t>
      </w:r>
      <w:r w:rsidR="008716CA">
        <w:rPr>
          <w:rStyle w:val="Ppogrubienie"/>
        </w:rPr>
        <w:t xml:space="preserve"> </w:t>
      </w:r>
      <w:r w:rsidRPr="004C4E9E">
        <w:rPr>
          <w:rStyle w:val="Ppogrubienie"/>
        </w:rPr>
        <w:t>projektowanym stanem prawnym</w:t>
      </w:r>
      <w:r w:rsidR="00025D82">
        <w:rPr>
          <w:rStyle w:val="Ppogrubienie"/>
        </w:rPr>
        <w:t xml:space="preserve"> </w:t>
      </w:r>
      <w:r w:rsidR="00025D82">
        <w:rPr>
          <w:rFonts w:ascii="Times New Roman" w:hAnsi="Times New Roman" w:cs="Times New Roman"/>
          <w:b/>
          <w:bCs w:val="0"/>
        </w:rPr>
        <w:t>(przewidywane skutki prawne wejścia aktu w życie)</w:t>
      </w:r>
    </w:p>
    <w:p w14:paraId="45421474" w14:textId="436594EE" w:rsidR="00094328" w:rsidRDefault="00442ED1" w:rsidP="00C779D6">
      <w:pPr>
        <w:pStyle w:val="ARTartustawynprozporzdzenia"/>
        <w:spacing w:after="120"/>
        <w:ind w:firstLine="0"/>
      </w:pPr>
      <w:r>
        <w:t>Przy</w:t>
      </w:r>
      <w:r w:rsidR="00230E86">
        <w:t xml:space="preserve"> opracowaniu </w:t>
      </w:r>
      <w:r>
        <w:t>projektowanych rozwiązań</w:t>
      </w:r>
      <w:r w:rsidR="00230E86">
        <w:t xml:space="preserve"> wzięto pod uwagę rozwiązania zapewnienia pomocy medycznej na lotniskach w wybranych </w:t>
      </w:r>
      <w:r>
        <w:t>państwach</w:t>
      </w:r>
      <w:r w:rsidR="00230E86">
        <w:t xml:space="preserve"> </w:t>
      </w:r>
      <w:r w:rsidR="002A38DE">
        <w:t xml:space="preserve">członkowskich </w:t>
      </w:r>
      <w:r w:rsidR="00230E86">
        <w:t>Unii Europejskiej, które opierają ten obowiązek na ustanowieniu wzajemnych umów partnerskich</w:t>
      </w:r>
      <w:r w:rsidR="00C07CFF">
        <w:t xml:space="preserve"> z podmiotami </w:t>
      </w:r>
      <w:r w:rsidR="00CA2C20">
        <w:t>medycznymi</w:t>
      </w:r>
      <w:r w:rsidR="00CF6536">
        <w:t xml:space="preserve"> lub cedują te obowiązki na jednostki państwowego ratownictwa medycznego</w:t>
      </w:r>
      <w:r w:rsidR="00230E86">
        <w:t xml:space="preserve">. </w:t>
      </w:r>
      <w:r w:rsidR="00CA2C20">
        <w:t>Z</w:t>
      </w:r>
      <w:r w:rsidR="008B63E3">
        <w:t xml:space="preserve">akres </w:t>
      </w:r>
      <w:r w:rsidR="00A01F16">
        <w:t>z</w:t>
      </w:r>
      <w:r w:rsidR="00230E86">
        <w:t>apewnian</w:t>
      </w:r>
      <w:r w:rsidR="00A01F16">
        <w:t>ej</w:t>
      </w:r>
      <w:r w:rsidR="00230E86">
        <w:t xml:space="preserve"> pomoc</w:t>
      </w:r>
      <w:r w:rsidR="00A01F16">
        <w:t>y</w:t>
      </w:r>
      <w:r w:rsidR="00230E86">
        <w:t xml:space="preserve"> medyczn</w:t>
      </w:r>
      <w:r w:rsidR="00A01F16">
        <w:t>ej</w:t>
      </w:r>
      <w:r w:rsidR="00230E86">
        <w:t xml:space="preserve"> na lotniskach różni się </w:t>
      </w:r>
      <w:r w:rsidR="00A01F16">
        <w:t xml:space="preserve">w zależności od rozmiaru </w:t>
      </w:r>
      <w:r w:rsidR="00A01F16">
        <w:lastRenderedPageBreak/>
        <w:t>lotniska, jego aktywności operacyjnej</w:t>
      </w:r>
      <w:r>
        <w:t>,</w:t>
      </w:r>
      <w:r w:rsidR="00A01F16">
        <w:t xml:space="preserve"> a także od dostępności publicznych służb ratowniczych</w:t>
      </w:r>
      <w:r w:rsidR="00A01F16" w:rsidRPr="00392F46">
        <w:t>.</w:t>
      </w:r>
      <w:r w:rsidR="00936E01" w:rsidRPr="00392F46">
        <w:rPr>
          <w:rFonts w:eastAsia="Calibri" w:cs="Times New Roman"/>
          <w:szCs w:val="24"/>
        </w:rPr>
        <w:t xml:space="preserve"> Takie p</w:t>
      </w:r>
      <w:r w:rsidR="00936E01" w:rsidRPr="00392F46">
        <w:t xml:space="preserve">odejście </w:t>
      </w:r>
      <w:r w:rsidR="00936E01">
        <w:t>pozwala na zachowanie r</w:t>
      </w:r>
      <w:r w:rsidR="00936E01" w:rsidRPr="00936E01">
        <w:t>ównowag</w:t>
      </w:r>
      <w:r w:rsidR="00936E01">
        <w:t>i</w:t>
      </w:r>
      <w:r w:rsidR="00936E01" w:rsidRPr="00936E01">
        <w:t xml:space="preserve"> między zapewnieniem bezpieczeństwa</w:t>
      </w:r>
      <w:r w:rsidR="00CA2C20">
        <w:t xml:space="preserve"> </w:t>
      </w:r>
      <w:r w:rsidR="00E7606F">
        <w:t xml:space="preserve">na lotnisku a </w:t>
      </w:r>
      <w:r w:rsidR="00CA2C20">
        <w:t>pozostawieniem z</w:t>
      </w:r>
      <w:r w:rsidR="00936E01">
        <w:t xml:space="preserve">arządzającemu </w:t>
      </w:r>
      <w:r w:rsidR="00936E01" w:rsidRPr="00936E01">
        <w:t>lotnisk</w:t>
      </w:r>
      <w:r w:rsidR="00936E01">
        <w:t xml:space="preserve">iem </w:t>
      </w:r>
      <w:r w:rsidR="00CA2C20">
        <w:t>decyzji</w:t>
      </w:r>
      <w:r w:rsidR="00936E01">
        <w:t xml:space="preserve"> w </w:t>
      </w:r>
      <w:r w:rsidR="00CA2C20">
        <w:t xml:space="preserve">zakresie </w:t>
      </w:r>
      <w:r w:rsidR="00936E01">
        <w:t>dostosowani</w:t>
      </w:r>
      <w:r w:rsidR="00CA2C20">
        <w:t xml:space="preserve">a sił i </w:t>
      </w:r>
      <w:r w:rsidR="00936E01" w:rsidRPr="00936E01">
        <w:t xml:space="preserve">środków, które najlepiej odpowiadają </w:t>
      </w:r>
      <w:r w:rsidR="00E7606F">
        <w:t>jego</w:t>
      </w:r>
      <w:r w:rsidR="00E7606F" w:rsidRPr="00936E01">
        <w:t xml:space="preserve"> </w:t>
      </w:r>
      <w:r w:rsidR="00936E01" w:rsidRPr="00936E01">
        <w:t xml:space="preserve">specyficznym </w:t>
      </w:r>
      <w:r w:rsidR="00936E01">
        <w:t>potrzebom</w:t>
      </w:r>
      <w:r w:rsidR="00936E01" w:rsidRPr="00936E01">
        <w:t xml:space="preserve"> operacyjnym</w:t>
      </w:r>
      <w:r w:rsidR="00F5177D">
        <w:t>.</w:t>
      </w:r>
      <w:r w:rsidR="00CF6536">
        <w:t xml:space="preserve"> </w:t>
      </w:r>
    </w:p>
    <w:p w14:paraId="3B7F7909" w14:textId="7AFA4DC4" w:rsidR="00E30F2E" w:rsidRPr="00E30F2E" w:rsidRDefault="00094328" w:rsidP="00C779D6">
      <w:pPr>
        <w:pStyle w:val="ARTartustawynprozporzdzenia"/>
        <w:spacing w:after="120"/>
        <w:ind w:firstLine="0"/>
      </w:pPr>
      <w:r>
        <w:t xml:space="preserve">Jednocześnie wskazuje się na </w:t>
      </w:r>
      <w:r w:rsidR="00E30F2E">
        <w:t xml:space="preserve">brak jednolitych rozwiązań systemowych w krajach </w:t>
      </w:r>
      <w:r w:rsidR="00442ED1">
        <w:br/>
      </w:r>
      <w:r w:rsidR="00E7606F">
        <w:t>europejskich w tym zakresie</w:t>
      </w:r>
      <w:r w:rsidR="00936E01" w:rsidRPr="00936E01">
        <w:t>.</w:t>
      </w:r>
    </w:p>
    <w:p w14:paraId="245324F7" w14:textId="7A340950" w:rsidR="00E30F2E" w:rsidRPr="00E30F2E" w:rsidRDefault="00094328" w:rsidP="001D0E17">
      <w:pPr>
        <w:pStyle w:val="ARTartustawynprozporzdzenia"/>
        <w:spacing w:after="120"/>
        <w:ind w:firstLine="0"/>
      </w:pPr>
      <w:r>
        <w:t>W</w:t>
      </w:r>
      <w:r w:rsidR="00E30F2E" w:rsidRPr="00E30F2E">
        <w:t xml:space="preserve"> Szwecji</w:t>
      </w:r>
      <w:r w:rsidR="00E30F2E" w:rsidRPr="00E30F2E">
        <w:rPr>
          <w:b/>
          <w:bCs/>
        </w:rPr>
        <w:t xml:space="preserve"> </w:t>
      </w:r>
      <w:r w:rsidR="00E30F2E" w:rsidRPr="00E30F2E">
        <w:t>przepisy krajowe nie określają rodzaju sprzętu medycznego, który musi być dostępny w celu udzielenia pomocy medycznej na lotniskach. Takie podejście pozwala na elastyczność w przygotowaniu każdego lotniska na sytuacje kryzysowe medyczne, potencjalnie dostosowując możliwości do konkretnych potrzeb i okoliczności.</w:t>
      </w:r>
      <w:r w:rsidR="00346631" w:rsidRPr="00E30F2E" w:rsidDel="00346631">
        <w:t xml:space="preserve"> </w:t>
      </w:r>
      <w:r w:rsidR="00E30F2E" w:rsidRPr="00E30F2E">
        <w:t>W Szwecji wiele lotnisk decyduje się na korzystanie z zewnętrznych usług medycznych</w:t>
      </w:r>
      <w:r w:rsidR="00346631">
        <w:t xml:space="preserve"> </w:t>
      </w:r>
      <w:r w:rsidR="00E30F2E" w:rsidRPr="00E30F2E">
        <w:t>w ramach umów o wzajemnej pomocy. Umowy te, stanowiące część lotniskowego planu awaryjnego, umożliwiają lotniskom wykorzystanie lokalnych zasobów medycznych i wiedzy specjalistycznej. Specyfika tych ustaleń może się różnić w zależności od wielkości lotniska, lokalizacji i potrzeb operacyjnych. Nawiązując takie partnerstwa, lotniska mogą zwiększyć swoje możliwości w zakresie reagowania medycznego w sytuacjach kryzysowych bez konieczności utrzymywania na miejscu rozbudowanej infrastruktury medycznej i personelu.</w:t>
      </w:r>
    </w:p>
    <w:p w14:paraId="24BDD147" w14:textId="5DE9B911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Norwegii</w:t>
      </w:r>
      <w:r>
        <w:t xml:space="preserve"> natomiast</w:t>
      </w:r>
      <w:r w:rsidRPr="00E30F2E">
        <w:t xml:space="preserve"> za pomoc medyczną na lotniskach odpowiadają państwowe służby ratownictwa medycznego. Jednakże Norweska Inspekcja Pracy wydała rozporządzenie stanowiące, że pracownicy muszą przejść odpowiednie przeszkolenie i </w:t>
      </w:r>
      <w:r w:rsidR="00442ED1">
        <w:t xml:space="preserve">posiadać </w:t>
      </w:r>
      <w:r w:rsidRPr="00E30F2E">
        <w:t>wiedzę na temat udzielania pierwszej pomocy, a także musi być dostępna dostosowana do ich potrzeb apteczka. Spośród 43 lotnisk w Norwegii posiadających certyfikat UE tylko na lotnisku w Oslo Dział Ratownictwa i Straży Pożarnej pełni specjalną rolę w zakre</w:t>
      </w:r>
      <w:r w:rsidR="00C779D6">
        <w:t>sie pierwszej pomocy pasażerom.</w:t>
      </w:r>
    </w:p>
    <w:p w14:paraId="5877FC0F" w14:textId="209459DF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 xml:space="preserve">W Holandii uznaje się, że kwestie te regulowane są </w:t>
      </w:r>
      <w:r w:rsidR="00C779D6">
        <w:t>przez przepisy międzynarodowe.</w:t>
      </w:r>
    </w:p>
    <w:p w14:paraId="3DAD2C7E" w14:textId="6C1FE6F0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Estonii</w:t>
      </w:r>
      <w:r w:rsidRPr="00E30F2E">
        <w:rPr>
          <w:b/>
          <w:bCs/>
        </w:rPr>
        <w:t xml:space="preserve"> </w:t>
      </w:r>
      <w:r w:rsidRPr="00E30F2E">
        <w:t>operatorzy lotnisk nie mają obowiązku zapewnienia ciągłej p</w:t>
      </w:r>
      <w:r w:rsidR="00C779D6">
        <w:t>omocy medycznej.</w:t>
      </w:r>
    </w:p>
    <w:p w14:paraId="46ACEA86" w14:textId="62EE2F8E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Austrii koncepcje różnią się w zależności od portu lotniczego, są opracowywane przez odpowiedniego operatora portu lotniczego i podawane do wiadomości władz lotnictwa cywilnego. Muszą odpowiadać danemu ruchowi lotniczemu. Nie ma w tym obszarze żadnych wytycznych.</w:t>
      </w:r>
    </w:p>
    <w:p w14:paraId="1804B811" w14:textId="6E7554C0" w:rsidR="00E30F2E" w:rsidRDefault="00E30F2E" w:rsidP="00C779D6">
      <w:pPr>
        <w:pStyle w:val="ARTartustawynprozporzdzenia"/>
        <w:spacing w:after="120"/>
        <w:ind w:firstLine="0"/>
      </w:pPr>
      <w:r w:rsidRPr="00E30F2E">
        <w:t>W Grecji przychodnie lotnicze oferują usługi pierwszej pomocy i zatrudniają pracowników Ministerstwa Zdrowia, które ponosi koszty wynagrodzeń. Wyposażenie medyczno-</w:t>
      </w:r>
      <w:r w:rsidRPr="00E30F2E">
        <w:lastRenderedPageBreak/>
        <w:t>farmaceutyczne Specjalnych Przychodni Okręgowych Lotnisk jest wykazywane w wykazie sporządzanym przez Ministra Zdrowia. Koszt materia</w:t>
      </w:r>
      <w:r w:rsidR="00C779D6">
        <w:t>łów i sprzętu pokrywa lotnisko.</w:t>
      </w:r>
    </w:p>
    <w:p w14:paraId="068EA208" w14:textId="536EB32B" w:rsidR="004F48C3" w:rsidRDefault="00BF424A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="00A36C4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projekcie rozporządzenia przewiduje się </w:t>
      </w:r>
      <w:r w:rsidR="00DF3C3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redakcyjna zmianę w </w:t>
      </w:r>
      <w:r w:rsidR="00DF3C31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§ </w:t>
      </w:r>
      <w:r w:rsidR="00DF3C3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14 ust. 1, która polega na przywołaniu nowego obwieszczenia Prezesa Urzędu Lotnictwa Cywilnego, w którym ogłoszony został </w:t>
      </w:r>
      <w:r w:rsidR="00DF3C31">
        <w:t>tekst</w:t>
      </w:r>
      <w:r w:rsidR="00DF3C31" w:rsidRPr="002F5539">
        <w:t xml:space="preserve"> Załącznika 10, tomu I do Konwencji o międzynarodowym lotnictwie cywilnym</w:t>
      </w:r>
      <w:r w:rsidR="00DF3C31">
        <w:t>,</w:t>
      </w:r>
      <w:r w:rsidR="00DF3C3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4663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zmianę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brzmienia </w:t>
      </w:r>
      <w:r w:rsidR="004072D0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 21a</w:t>
      </w:r>
      <w:r w:rsidR="00DF3C3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, uchylenie załącznika nr 1 do rozporządzenia, dodanie nowego załącznika nr 1a do rozporządzenia oraz </w:t>
      </w:r>
      <w:r w:rsidR="001356A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zmianę brzmienia </w:t>
      </w:r>
      <w:r w:rsidR="00DF3C3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załącznika </w:t>
      </w:r>
      <w:r w:rsidR="009C714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nr </w:t>
      </w:r>
      <w:r w:rsidR="001356A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2.</w:t>
      </w:r>
    </w:p>
    <w:p w14:paraId="61D0C5B0" w14:textId="2518B1BD" w:rsidR="000A0DD2" w:rsidRDefault="00A36C4E" w:rsidP="00A36C4E">
      <w:pPr>
        <w:pStyle w:val="ARTartustawynprozporzdzenia"/>
        <w:spacing w:after="120"/>
        <w:ind w:firstLine="0"/>
      </w:pPr>
      <w:r>
        <w:t>Dotychczasow</w:t>
      </w:r>
      <w:r w:rsidR="00605AC1">
        <w:t>y</w:t>
      </w:r>
      <w:r>
        <w:t xml:space="preserve"> przepis </w:t>
      </w:r>
      <w:r w:rsidRPr="00347E4C">
        <w:t>§ 21a ust. 1</w:t>
      </w:r>
      <w:r>
        <w:t xml:space="preserve"> szczegółowo reguluj</w:t>
      </w:r>
      <w:r w:rsidR="00605AC1">
        <w:t>e</w:t>
      </w:r>
      <w:r>
        <w:t xml:space="preserve"> wymagania dotyczące zapewniania przez zarządzającego lotniskiem pomocy medycznej na lotnisku</w:t>
      </w:r>
      <w:r w:rsidR="00304832">
        <w:t xml:space="preserve"> w zależności </w:t>
      </w:r>
      <w:r w:rsidR="00FE6938">
        <w:br/>
      </w:r>
      <w:r w:rsidR="00304832">
        <w:t xml:space="preserve">od </w:t>
      </w:r>
      <w:r w:rsidR="00304832" w:rsidRPr="00304832">
        <w:t>średnioroczn</w:t>
      </w:r>
      <w:r w:rsidR="00304832">
        <w:t>ej</w:t>
      </w:r>
      <w:r w:rsidR="00304832" w:rsidRPr="00304832">
        <w:t xml:space="preserve"> krocząc</w:t>
      </w:r>
      <w:r w:rsidR="00304832">
        <w:t>ej</w:t>
      </w:r>
      <w:r w:rsidR="00304832" w:rsidRPr="00304832">
        <w:t xml:space="preserve"> liczb</w:t>
      </w:r>
      <w:r w:rsidR="00304832">
        <w:t>y</w:t>
      </w:r>
      <w:r w:rsidR="00304832" w:rsidRPr="00304832">
        <w:t xml:space="preserve"> obsłużonych pasażerów obejmując</w:t>
      </w:r>
      <w:r w:rsidR="00304832">
        <w:t>ej</w:t>
      </w:r>
      <w:r w:rsidR="00304832" w:rsidRPr="00304832">
        <w:t xml:space="preserve"> każde kolejne 365 dni</w:t>
      </w:r>
      <w:r>
        <w:t xml:space="preserve">. </w:t>
      </w:r>
    </w:p>
    <w:p w14:paraId="30B67E26" w14:textId="58DC4AAB" w:rsidR="00CF6536" w:rsidRDefault="00A36C4E" w:rsidP="00A36C4E">
      <w:pPr>
        <w:pStyle w:val="ARTartustawynprozporzdzenia"/>
        <w:spacing w:after="120"/>
        <w:ind w:firstLine="0"/>
      </w:pPr>
      <w:r>
        <w:t>W projektowanych przepisach</w:t>
      </w:r>
      <w:r w:rsidR="00DF3C31">
        <w:t xml:space="preserve"> zrezygnowano z takiego określania wymagań w zakresie </w:t>
      </w:r>
      <w:r>
        <w:t xml:space="preserve"> </w:t>
      </w:r>
      <w:r w:rsidR="00DF3C31">
        <w:t xml:space="preserve">pomocy medycznej na lotnisku. W zamian ze to </w:t>
      </w:r>
      <w:r>
        <w:t>zaproponowano</w:t>
      </w:r>
      <w:r w:rsidR="00E5474B">
        <w:t xml:space="preserve">, aby zarządzający lotniskiem </w:t>
      </w:r>
      <w:r w:rsidR="00E5474B" w:rsidRPr="00E5474B">
        <w:t>do końca marca każdego roku opracow</w:t>
      </w:r>
      <w:r w:rsidR="00E5474B">
        <w:t>ywał</w:t>
      </w:r>
      <w:r w:rsidR="00E5474B" w:rsidRPr="00E5474B">
        <w:t xml:space="preserve"> analizę</w:t>
      </w:r>
      <w:r w:rsidR="00EB56A6">
        <w:t xml:space="preserve"> uwzględniającą</w:t>
      </w:r>
      <w:r w:rsidR="00CF6536">
        <w:t xml:space="preserve"> </w:t>
      </w:r>
      <w:r w:rsidR="00DF3C31">
        <w:t>następujące czynniki</w:t>
      </w:r>
      <w:r w:rsidR="00CF6536">
        <w:t>:</w:t>
      </w:r>
    </w:p>
    <w:p w14:paraId="5D1F450A" w14:textId="378EFF19" w:rsidR="00AB3AA2" w:rsidRDefault="00AB3AA2" w:rsidP="00413E09">
      <w:pPr>
        <w:pStyle w:val="ARTartustawynprozporzdzenia"/>
        <w:numPr>
          <w:ilvl w:val="0"/>
          <w:numId w:val="9"/>
        </w:numPr>
        <w:ind w:left="567"/>
      </w:pPr>
      <w:r>
        <w:t>liczba i rozmieszczenie zespołów ratownictwa medycznego oraz szpitalnych oddziałów ratunkowych w otoczeniu lotniska</w:t>
      </w:r>
      <w:r w:rsidR="00346631">
        <w:t>,</w:t>
      </w:r>
      <w:r w:rsidR="00EA7F93">
        <w:t xml:space="preserve"> których czas dojazdu</w:t>
      </w:r>
      <w:r w:rsidR="004B549E">
        <w:t xml:space="preserve"> na lotnisko nie jest większy</w:t>
      </w:r>
      <w:r w:rsidR="00EA7F93">
        <w:t xml:space="preserve"> niż 20 minut</w:t>
      </w:r>
      <w:r>
        <w:t>;</w:t>
      </w:r>
    </w:p>
    <w:p w14:paraId="13A87185" w14:textId="22A3BDD2" w:rsidR="00AB3AA2" w:rsidRDefault="00AB3AA2" w:rsidP="00413E09">
      <w:pPr>
        <w:pStyle w:val="ARTartustawynprozporzdzenia"/>
        <w:numPr>
          <w:ilvl w:val="0"/>
          <w:numId w:val="9"/>
        </w:numPr>
        <w:ind w:left="567"/>
      </w:pPr>
      <w:r>
        <w:t>układ elementów infrastruktury lotniska;</w:t>
      </w:r>
    </w:p>
    <w:p w14:paraId="4017A979" w14:textId="706C2B8A" w:rsidR="00AB3AA2" w:rsidRDefault="00AB3AA2" w:rsidP="00413E09">
      <w:pPr>
        <w:pStyle w:val="ARTartustawynprozporzdzenia"/>
        <w:numPr>
          <w:ilvl w:val="0"/>
          <w:numId w:val="9"/>
        </w:numPr>
        <w:ind w:left="567"/>
      </w:pPr>
      <w:r>
        <w:t>liczba pasażerów obsługiwanych na lotnisku podczas przeciętnej godziny szczytu obliczaną jako średnia arytmetyczna z największych godzinowych liczb pasażerów obsługiwanych każdego dnia w roku ubiegłym;</w:t>
      </w:r>
    </w:p>
    <w:p w14:paraId="66CD5C99" w14:textId="5DF28123" w:rsidR="00AB3AA2" w:rsidRDefault="00AB3AA2" w:rsidP="00413E09">
      <w:pPr>
        <w:pStyle w:val="ARTartustawynprozporzdzenia"/>
        <w:numPr>
          <w:ilvl w:val="0"/>
          <w:numId w:val="9"/>
        </w:numPr>
        <w:ind w:left="567"/>
      </w:pPr>
      <w:r>
        <w:t>charakterystyka połączeń obsługiwanych przez port lotniczy ze szczególnym uwzględnieniem kierunków o wysokim ryzyku chorób zakaźnych;</w:t>
      </w:r>
    </w:p>
    <w:p w14:paraId="6F664B05" w14:textId="03DD3076" w:rsidR="00AB3AA2" w:rsidRDefault="00AB3AA2" w:rsidP="00413E09">
      <w:pPr>
        <w:pStyle w:val="ARTartustawynprozporzdzenia"/>
        <w:numPr>
          <w:ilvl w:val="0"/>
          <w:numId w:val="9"/>
        </w:numPr>
        <w:ind w:left="567"/>
      </w:pPr>
      <w:r>
        <w:t xml:space="preserve">liczba i charakter zdarzeń wymagających udzielenia </w:t>
      </w:r>
      <w:r w:rsidR="001356A0">
        <w:t xml:space="preserve">niezbędnej </w:t>
      </w:r>
      <w:r>
        <w:t>pomocy medycznej na lotnisku w roku ubiegłym;</w:t>
      </w:r>
    </w:p>
    <w:p w14:paraId="4258FF2B" w14:textId="1CC48BE7" w:rsidR="00AB3AA2" w:rsidRDefault="00AB3AA2" w:rsidP="00413E09">
      <w:pPr>
        <w:pStyle w:val="ARTartustawynprozporzdzenia"/>
        <w:numPr>
          <w:ilvl w:val="0"/>
          <w:numId w:val="9"/>
        </w:numPr>
        <w:ind w:left="567"/>
      </w:pPr>
      <w:r>
        <w:t xml:space="preserve">ocena skuteczności i efektywności rozwiązań, które zarządzający lotniskiem przyjął celem zapewnienia </w:t>
      </w:r>
      <w:r w:rsidR="001356A0">
        <w:t xml:space="preserve">niezbędnej pomocy </w:t>
      </w:r>
      <w:r>
        <w:t>medyczne</w:t>
      </w:r>
      <w:r w:rsidR="001356A0">
        <w:t>j na lotnisku</w:t>
      </w:r>
      <w:r w:rsidR="00EA7F93">
        <w:t xml:space="preserve"> w roku ubiegłym</w:t>
      </w:r>
      <w:r>
        <w:t>;</w:t>
      </w:r>
    </w:p>
    <w:p w14:paraId="76AE9BB1" w14:textId="1FA4BAEA" w:rsidR="00AB3AA2" w:rsidRDefault="00AB3AA2" w:rsidP="00413E09">
      <w:pPr>
        <w:pStyle w:val="ARTartustawynprozporzdzenia"/>
        <w:numPr>
          <w:ilvl w:val="0"/>
          <w:numId w:val="9"/>
        </w:numPr>
        <w:spacing w:after="120"/>
        <w:ind w:left="567"/>
      </w:pPr>
      <w:r>
        <w:t xml:space="preserve">inne czynniki mające wpływ na zdrowie i bezpieczeństwo </w:t>
      </w:r>
      <w:r w:rsidR="004B549E">
        <w:t>osób przebywających  na lotnisku</w:t>
      </w:r>
      <w:r>
        <w:t>.</w:t>
      </w:r>
    </w:p>
    <w:p w14:paraId="207995E2" w14:textId="686D76E9" w:rsidR="00587C42" w:rsidRDefault="00AB3AA2" w:rsidP="00413E09">
      <w:pPr>
        <w:pStyle w:val="ARTartustawynprozporzdzenia"/>
        <w:ind w:firstLine="0"/>
      </w:pPr>
      <w:r>
        <w:t>N</w:t>
      </w:r>
      <w:r w:rsidR="00E5474B" w:rsidRPr="00E5474B">
        <w:t xml:space="preserve">a podstawie wyników tej analizy </w:t>
      </w:r>
      <w:r>
        <w:t xml:space="preserve">zarządzający lotniskiem będzie określał </w:t>
      </w:r>
      <w:r w:rsidR="00587C42">
        <w:br/>
      </w:r>
      <w:r>
        <w:t xml:space="preserve">i zapewniał wykwalifikowany personel, sprzęt oraz pomieszczenia </w:t>
      </w:r>
      <w:r w:rsidR="00EB56A6">
        <w:t xml:space="preserve">adekwatne </w:t>
      </w:r>
      <w:r w:rsidR="003F5DC1">
        <w:br/>
      </w:r>
      <w:r w:rsidR="00EB56A6">
        <w:lastRenderedPageBreak/>
        <w:t>do specyficznych potrzeb</w:t>
      </w:r>
      <w:r>
        <w:t xml:space="preserve"> wynikających z wyszczególnionych czynników</w:t>
      </w:r>
      <w:r w:rsidR="000A0DD2">
        <w:t xml:space="preserve">, a także </w:t>
      </w:r>
      <w:r w:rsidR="000A0DD2" w:rsidRPr="00A462A1">
        <w:t>możliwoś</w:t>
      </w:r>
      <w:r w:rsidR="00FE6938">
        <w:t xml:space="preserve">ć </w:t>
      </w:r>
      <w:r w:rsidR="000A0DD2">
        <w:t xml:space="preserve">skutecznego </w:t>
      </w:r>
      <w:r w:rsidR="000A0DD2" w:rsidRPr="00A462A1">
        <w:t>wezwania zespołu ratownictwa medy</w:t>
      </w:r>
      <w:r w:rsidR="000A0DD2">
        <w:t>cznego</w:t>
      </w:r>
      <w:r>
        <w:t xml:space="preserve">. </w:t>
      </w:r>
      <w:r w:rsidR="00587C42">
        <w:t>Dodatkowo</w:t>
      </w:r>
      <w:r w:rsidR="00346631">
        <w:t>,</w:t>
      </w:r>
      <w:r w:rsidR="00587C42">
        <w:t xml:space="preserve"> w przypadku wystąpienia istotnych zmian tych czynników, a także w odpowiedzi na czynniki losowe </w:t>
      </w:r>
      <w:r w:rsidR="00FE6938">
        <w:br/>
      </w:r>
      <w:r w:rsidR="00587C42">
        <w:t xml:space="preserve">i niemożliwe do przewidzenia, zarządzający będą obowiązani do aktualizacji analizy </w:t>
      </w:r>
      <w:r w:rsidR="00FE6938">
        <w:br/>
      </w:r>
      <w:r w:rsidR="00587C42">
        <w:t xml:space="preserve">i dostosowania poziomu </w:t>
      </w:r>
      <w:r w:rsidR="006E3B86">
        <w:t>zapewnienia udzielenia niezbędnej pomocy medycznej</w:t>
      </w:r>
      <w:r w:rsidR="00587C42">
        <w:t xml:space="preserve"> na lotnisku do aktualnych potrzeb. </w:t>
      </w:r>
    </w:p>
    <w:p w14:paraId="35F03274" w14:textId="7DDDF62A" w:rsidR="00AB3AA2" w:rsidRDefault="00AB3AA2" w:rsidP="00413E09">
      <w:pPr>
        <w:pStyle w:val="ARTartustawynprozporzdzenia"/>
        <w:spacing w:after="120"/>
        <w:ind w:firstLine="0"/>
      </w:pPr>
      <w:r w:rsidRPr="00E165FC">
        <w:t xml:space="preserve">W projekcie rozporządzenia </w:t>
      </w:r>
      <w:r w:rsidR="000958C4" w:rsidRPr="00E165FC">
        <w:t xml:space="preserve">wskazano </w:t>
      </w:r>
      <w:r w:rsidRPr="00E165FC">
        <w:t xml:space="preserve">minimalne wymagania w postaci </w:t>
      </w:r>
      <w:r w:rsidR="000E4382" w:rsidRPr="00E165FC">
        <w:t>określenia</w:t>
      </w:r>
      <w:r w:rsidR="000958C4" w:rsidRPr="00E165FC">
        <w:t xml:space="preserve"> </w:t>
      </w:r>
      <w:r w:rsidR="00A36C4E" w:rsidRPr="00E165FC">
        <w:t>rodzaju pierwszej pomocy jaka ma być udzielana tj. pierwszą pomoc na poziomie co najmniej kwalifikowanej pierwszej pomocy</w:t>
      </w:r>
      <w:r w:rsidR="00BA781E" w:rsidRPr="00E165FC">
        <w:t xml:space="preserve"> (wraz z określeniem wymagań odnośnie wyposażenia ratowników</w:t>
      </w:r>
      <w:r w:rsidR="000958C4" w:rsidRPr="00E165FC">
        <w:t xml:space="preserve"> – załącznik nr 1</w:t>
      </w:r>
      <w:r w:rsidR="00DF3C31">
        <w:t>a</w:t>
      </w:r>
      <w:r w:rsidR="000958C4" w:rsidRPr="00E165FC">
        <w:t xml:space="preserve"> do rozpo</w:t>
      </w:r>
      <w:r w:rsidR="000E4382" w:rsidRPr="00E165FC">
        <w:t>r</w:t>
      </w:r>
      <w:r w:rsidR="000958C4" w:rsidRPr="00E165FC">
        <w:t>ządzenia</w:t>
      </w:r>
      <w:r w:rsidR="00BA781E" w:rsidRPr="00E165FC">
        <w:t>)</w:t>
      </w:r>
      <w:r w:rsidR="00A36C4E" w:rsidRPr="00E165FC">
        <w:t>.</w:t>
      </w:r>
      <w:r w:rsidR="00A36C4E">
        <w:t xml:space="preserve"> Dodatkowo</w:t>
      </w:r>
      <w:r w:rsidR="00E5474B">
        <w:t>, jako minimum</w:t>
      </w:r>
      <w:r w:rsidR="00A36C4E">
        <w:t xml:space="preserve"> zaproponowano nałożenie na zarządzających lotniskami obowiązku posiadania pomieszczenia spełniającego wymogi punktu pierwszej pomocy medycznej, który może również stanowić miejsce izolacji osób chorych na choroby wysoko zakaźne, a także </w:t>
      </w:r>
      <w:r w:rsidR="00346631">
        <w:t xml:space="preserve">nałożono obowiązek </w:t>
      </w:r>
      <w:r w:rsidR="00A36C4E">
        <w:t xml:space="preserve">zapewnienia automatycznego defibrylatora zewnętrznego (AED) oraz parawanu. Okres pandemii </w:t>
      </w:r>
      <w:r w:rsidR="00FD1F35">
        <w:br/>
      </w:r>
      <w:r w:rsidR="00A36C4E">
        <w:t>COVID-19 wskazał na potrzebę zapewniania tego typu pomieszczeń</w:t>
      </w:r>
      <w:r w:rsidR="00346631">
        <w:t xml:space="preserve"> i wyposażenia</w:t>
      </w:r>
      <w:r w:rsidR="00A36C4E">
        <w:t xml:space="preserve">. </w:t>
      </w:r>
    </w:p>
    <w:p w14:paraId="1932C63A" w14:textId="162957FE" w:rsidR="00A36C4E" w:rsidRDefault="00DB52D3" w:rsidP="00BF424A">
      <w:pPr>
        <w:pStyle w:val="ARTartustawynprozporzdzenia"/>
        <w:spacing w:after="120"/>
        <w:ind w:firstLine="0"/>
      </w:pPr>
      <w:r>
        <w:t>Podkreślić trzeba, że p</w:t>
      </w:r>
      <w:r w:rsidR="00AB3AA2">
        <w:t xml:space="preserve">roponowane </w:t>
      </w:r>
      <w:r>
        <w:t xml:space="preserve">przepisy </w:t>
      </w:r>
      <w:r w:rsidR="00AB3AA2">
        <w:t xml:space="preserve">nie </w:t>
      </w:r>
      <w:r w:rsidR="00FD1F35">
        <w:t>ograniczają</w:t>
      </w:r>
      <w:r w:rsidR="000958C4">
        <w:t xml:space="preserve"> zarządzającym </w:t>
      </w:r>
      <w:r w:rsidR="00AB3AA2">
        <w:t xml:space="preserve">lotniskami  </w:t>
      </w:r>
      <w:r w:rsidR="004D40EE">
        <w:t xml:space="preserve">możliwości </w:t>
      </w:r>
      <w:r w:rsidR="00AB3AA2">
        <w:t xml:space="preserve">zapewnienia wyższych standardów zabezpieczenia medycznego </w:t>
      </w:r>
      <w:r w:rsidR="006237F4">
        <w:t>wynikających</w:t>
      </w:r>
      <w:r w:rsidR="00AB3AA2">
        <w:t xml:space="preserve"> np. z dużej </w:t>
      </w:r>
      <w:r w:rsidR="00DF3C31">
        <w:t xml:space="preserve">liczby </w:t>
      </w:r>
      <w:r w:rsidR="00AB3AA2">
        <w:t>obsługiwanych pasażerów</w:t>
      </w:r>
      <w:r w:rsidR="00FE6938">
        <w:t>,</w:t>
      </w:r>
      <w:r w:rsidR="00AB3AA2">
        <w:t xml:space="preserve"> czy też skomplikowanego układu infrastruktury lotniskowej</w:t>
      </w:r>
      <w:r w:rsidR="006237F4">
        <w:t>, ponieważ w projekcie określono jedynie wymagania minimalne.</w:t>
      </w:r>
      <w:r w:rsidR="00AB3AA2">
        <w:t xml:space="preserve"> Dostosowanie systemu zabezpieczenia medycznego portu lotniczego powinno zależeć ściśle od jego charakterystyki i </w:t>
      </w:r>
      <w:r w:rsidR="00587C42">
        <w:t xml:space="preserve">m.in. </w:t>
      </w:r>
      <w:r w:rsidR="00AB3AA2">
        <w:t xml:space="preserve">dostępności wsparcia zewnętrznego w postaci chociażby jednostek Państwowego Ratownictwa Medycznego. </w:t>
      </w:r>
      <w:r w:rsidR="00587C42">
        <w:t xml:space="preserve">Elastyczne podejście bazujące na realnej ocenie wszelkich istotnych czynników pozwoli na dostosowanie organizacji zabezpieczenia medycznego na lotnisku do realnych potrzeb oraz na racjonalizację kosztów ponoszonych przez zarządzających lotniskami.  </w:t>
      </w:r>
    </w:p>
    <w:p w14:paraId="444F900E" w14:textId="4B2164E5" w:rsidR="00DB52D3" w:rsidRDefault="00DB52D3" w:rsidP="00A1306E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związku ze zmianami w </w:t>
      </w:r>
      <w:r>
        <w:rPr>
          <w:rStyle w:val="Ppogrubienie"/>
          <w:rFonts w:ascii="Times New Roman" w:eastAsiaTheme="minorHAnsi" w:hAnsi="Times New Roman" w:cs="Times New Roman"/>
          <w:b w:val="0"/>
          <w:szCs w:val="22"/>
          <w:lang w:eastAsia="en-US"/>
        </w:rPr>
        <w:t>§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21a proponuje się</w:t>
      </w:r>
      <w:r w:rsid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uchylenie </w:t>
      </w:r>
      <w:r w:rsidR="00086CE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załącznik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a</w:t>
      </w:r>
      <w:r w:rsidR="00086CE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nr 1 do rozporządzenia. 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Dodaje się natomiast </w:t>
      </w:r>
      <w:r w:rsid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załącznik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nr 1a, którego treść</w:t>
      </w:r>
      <w:r w:rsid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stanowi wykaz minimalnego</w:t>
      </w:r>
      <w:r w:rsidR="000E4382" w:rsidRP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standardu</w:t>
      </w:r>
      <w:r w:rsidR="000E4382" w:rsidRP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wyposażenia zestawu ratownictwa medycznego</w:t>
      </w:r>
      <w:r w:rsid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. </w:t>
      </w:r>
      <w:r w:rsid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Standard wzorowano</w:t>
      </w:r>
      <w:r w:rsid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na </w:t>
      </w:r>
      <w:r w:rsid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wymaganiach opracowanych przez </w:t>
      </w:r>
      <w:r w:rsidR="008608E8" w:rsidRP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Komendanta Głównego Straży Pożarnej z dnia 30 czerwca 2021 r.</w:t>
      </w:r>
      <w:r w:rsid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(</w:t>
      </w:r>
      <w:r w:rsidR="000E4382" w:rsidRP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pkt 3.1. załącznika 3 do Zasad Organizacji Ratownictwa Medycznego w Krajowym Systemie Ratowniczo-Gaśniczym</w:t>
      </w:r>
      <w:r w:rsid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)</w:t>
      </w:r>
      <w:r w:rsidR="00E165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.</w:t>
      </w:r>
      <w:r w:rsidR="000E4382" w:rsidRPr="000E43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</w:p>
    <w:p w14:paraId="193CAC5B" w14:textId="6D71433D" w:rsidR="000E4382" w:rsidRPr="00E165FC" w:rsidRDefault="00DB52D3" w:rsidP="00A1306E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Niniejszym rozporządzeniem d</w:t>
      </w:r>
      <w:r w:rsidR="00086CE6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okon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uje się</w:t>
      </w:r>
      <w:r w:rsidR="00086CE6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także</w:t>
      </w:r>
      <w:r w:rsidR="00DC42AF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D295D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zmian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B03B77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brzmienia</w:t>
      </w:r>
      <w:r w:rsidR="002827B6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załącznika nr 2 do rozporządzenia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. </w:t>
      </w:r>
      <w:r w:rsidR="008D1D33" w:rsidRPr="00E165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związku z rezygnacją z podziału lotnisk na lotniska, które obsłużyły do 1 </w:t>
      </w:r>
      <w:r w:rsidR="008D1D33" w:rsidRPr="00E165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lastRenderedPageBreak/>
        <w:t xml:space="preserve">mln pasażerów rocznie oraz powyżej 1 mln, ujednolicono </w:t>
      </w:r>
      <w:r w:rsidR="008D1D33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minimalne wyposażenie medyczne na lotnisku do zabezpieczenia zdarzenia masowego. </w:t>
      </w:r>
    </w:p>
    <w:p w14:paraId="571094DD" w14:textId="4576D5A9" w:rsidR="00A1306E" w:rsidRPr="008608E8" w:rsidRDefault="00DF3C31" w:rsidP="00A1306E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="008D1D33" w:rsidRPr="00E165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załączniku</w:t>
      </w:r>
      <w:r w:rsidR="0083306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nr</w:t>
      </w:r>
      <w:r w:rsidR="008D1D33" w:rsidRPr="00E165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2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do rozporządzenia, uwzględniając postulaty zgłaszane w ramach konsultacji przedmiotowego projektu rozporządzenia, </w:t>
      </w:r>
      <w:r w:rsidR="008D1D33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="00DB52D3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prowadzone </w:t>
      </w:r>
      <w:r w:rsidR="008D1D33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zostały zmiany polegające </w:t>
      </w:r>
      <w:r w:rsidR="0083306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m.in. na zredukowaniu liczby wyposażenia medycznego na lotnisku służącego do zabezpieczenia zdarzenia masowego.</w:t>
      </w:r>
    </w:p>
    <w:p w14:paraId="54943D63" w14:textId="547AF698" w:rsidR="008C1AA5" w:rsidRPr="008608E8" w:rsidRDefault="004D56FB" w:rsidP="00FE6320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 zw</w:t>
      </w:r>
      <w:r w:rsidR="000A0DD2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iązku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</w:t>
      </w:r>
      <w:r w:rsidR="008D1D33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ujednoliceniem wymagań, a także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opisanymi wyżej</w:t>
      </w:r>
      <w:r w:rsidR="00DA6F82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zmianami</w:t>
      </w:r>
      <w:r w:rsidR="008D1D33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w załączniku nr 2 do rozporządzenia usunięto dotychczasowe tabele</w:t>
      </w:r>
      <w:r w:rsidR="00FC776D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nr</w:t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83306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2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sym w:font="Symbol" w:char="F02D"/>
      </w:r>
      <w:r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6.</w:t>
      </w:r>
      <w:r w:rsidR="00B03B77" w:rsidRPr="008608E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</w:p>
    <w:p w14:paraId="06DE90C7" w14:textId="0C53177D" w:rsidR="00EB56A6" w:rsidRDefault="001D0E17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</w:t>
      </w:r>
      <w:r w:rsidR="00EB56A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godnie z </w:t>
      </w:r>
      <w:r w:rsidR="00EB56A6" w:rsidRPr="00EB56A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§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2 projektowanego rozporządzenia</w:t>
      </w:r>
      <w:r w:rsidRPr="00EB56A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zaproponowano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 że do dnia 1 lipca 2026 r. (tj. momentu od którego stosowane będą wszystkie nowe wymagania wprowadzone rozporządzeniem) zarządzający lotniskami udzielają niezbędnej pomocy medycznej na podstawie dotychczas obowiązujących przepisów</w:t>
      </w:r>
      <w:r w:rsidR="00EB56A6" w:rsidRPr="00EB56A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.</w:t>
      </w:r>
    </w:p>
    <w:p w14:paraId="49B315DB" w14:textId="0261D311" w:rsidR="001D0E17" w:rsidRDefault="001D0E17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Zgodnie z </w:t>
      </w:r>
      <w:r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3 </w:t>
      </w:r>
      <w:r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projektu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rozporządzenie wejdzie w życie 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po upływie 14 dni od dnia ogłoszenia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 stosownie do art. 4 ust. 1 ustawy z dnia 20 lipca 2000 r. o ogłaszaniu aktów normatywnych i niektórych innych aktów prawnych (Dz. U. z 2019 r. poz. 1461)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, z zastrzeżeniem, że nowe rozwiązania w zakresie udzielania niezbędnej pomocy medycznej na lotnisku, z wyłączeniem obowiązku opracowania analizy, o której mowa w § 21a ust. 1 rozporządzenia zmieniającego 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będą 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stos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owane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od dnia 1 lipca 2026 r.</w:t>
      </w:r>
      <w:r w:rsidR="004D40E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Rozwiązanie takie pozwoli 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zarządzającym </w:t>
      </w:r>
      <w:r w:rsidR="004D40E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lotnisk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ami</w:t>
      </w:r>
      <w:r w:rsidR="004D40E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odpowiednio </w:t>
      </w:r>
      <w:r w:rsidR="004D40E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przygotować się do nowych rozwiązań oraz 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umożliwi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prawidłowe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DA6F8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dostosowanie </w:t>
      </w:r>
      <w:r w:rsidR="00627DF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wyposażenia medycznego dostępnego na lotnisku do poziomu adekwatnego do określonego w opracowanej analizie.</w:t>
      </w:r>
    </w:p>
    <w:p w14:paraId="0C276097" w14:textId="7E4A1633" w:rsidR="00025D82" w:rsidRPr="003219DF" w:rsidRDefault="00025D82" w:rsidP="00025D82">
      <w:pPr>
        <w:pStyle w:val="NIEARTTEKSTtekstnieartykuowanynppodstprawnarozplubpreambua"/>
        <w:spacing w:after="120"/>
        <w:ind w:firstLine="0"/>
        <w:rPr>
          <w:rStyle w:val="Ppogrubienie"/>
          <w:rFonts w:ascii="Times New Roman" w:eastAsiaTheme="minorHAnsi" w:hAnsi="Times New Roman" w:cs="Times New Roman"/>
          <w:bCs w:val="0"/>
          <w:szCs w:val="24"/>
          <w:lang w:eastAsia="en-US"/>
        </w:rPr>
      </w:pPr>
      <w:r>
        <w:rPr>
          <w:rStyle w:val="Ppogrubienie"/>
          <w:rFonts w:ascii="Times New Roman" w:hAnsi="Times New Roman" w:cs="Times New Roman"/>
          <w:szCs w:val="24"/>
        </w:rPr>
        <w:t>I</w:t>
      </w:r>
      <w:r w:rsidRPr="003219DF">
        <w:rPr>
          <w:rStyle w:val="Ppogrubienie"/>
          <w:rFonts w:ascii="Times New Roman" w:hAnsi="Times New Roman" w:cs="Times New Roman"/>
          <w:szCs w:val="24"/>
        </w:rPr>
        <w:t>V.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Oświadczenie organu wnioskującego co do zgodności projektu z prawem Unii Europejskiej</w:t>
      </w:r>
    </w:p>
    <w:p w14:paraId="5DB12E43" w14:textId="77777777" w:rsidR="00025D82" w:rsidRDefault="00025D82" w:rsidP="00025D82">
      <w:pPr>
        <w:pStyle w:val="NIEARTTEKSTtekstnieartykuowanynppodstprawnarozplubpreambua"/>
        <w:spacing w:after="120"/>
        <w:ind w:firstLine="0"/>
      </w:pPr>
      <w:r w:rsidRPr="003219DF">
        <w:rPr>
          <w:rFonts w:ascii="Times New Roman" w:hAnsi="Times New Roman" w:cs="Times New Roman"/>
          <w:szCs w:val="24"/>
        </w:rPr>
        <w:t>Proje</w:t>
      </w:r>
      <w:r>
        <w:rPr>
          <w:rFonts w:ascii="Times New Roman" w:hAnsi="Times New Roman" w:cs="Times New Roman"/>
          <w:szCs w:val="24"/>
        </w:rPr>
        <w:t>kt rozporządzenia nie jest objęty zakresem prawa</w:t>
      </w:r>
      <w:r w:rsidRPr="003219DF">
        <w:rPr>
          <w:rFonts w:ascii="Times New Roman" w:hAnsi="Times New Roman" w:cs="Times New Roman"/>
          <w:szCs w:val="24"/>
        </w:rPr>
        <w:t xml:space="preserve"> Unii Europejskiej.</w:t>
      </w:r>
    </w:p>
    <w:p w14:paraId="4D223B31" w14:textId="4ACBE9C7" w:rsidR="00025D82" w:rsidRPr="003219DF" w:rsidRDefault="00025D82" w:rsidP="00025D82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rFonts w:ascii="Times New Roman" w:eastAsiaTheme="minorHAnsi" w:hAnsi="Times New Roman" w:cs="Times New Roman"/>
          <w:bCs w:val="0"/>
          <w:szCs w:val="24"/>
          <w:lang w:eastAsia="en-US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V.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Ocena organu wnioskującego czy projekt podlega notyfikacji zgodnie z przepisami dotyczącymi funkcjonowania krajowego systemu notyfikacji norm i aktów prawnych</w:t>
      </w:r>
    </w:p>
    <w:p w14:paraId="35459E05" w14:textId="77777777" w:rsidR="00025D82" w:rsidRDefault="00025D82" w:rsidP="00025D82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3219DF">
        <w:rPr>
          <w:rFonts w:ascii="Times New Roman" w:hAnsi="Times New Roman" w:cs="Times New Roman"/>
          <w:szCs w:val="24"/>
        </w:rPr>
        <w:t>Regulacje zawarte w projekcie rozporządzenia nie stanowią przepisów technicznych w rozumieniu rozporządzenia Rady Ministrów z dnia 23 grudnia 2002 r. w sprawie sposobu funkcjonowania krajowego systemu notyfikacji norm i aktów prawnych (Dz. U. poz. 2039, z </w:t>
      </w:r>
      <w:proofErr w:type="spellStart"/>
      <w:r w:rsidRPr="003219DF">
        <w:rPr>
          <w:rFonts w:ascii="Times New Roman" w:hAnsi="Times New Roman" w:cs="Times New Roman"/>
          <w:szCs w:val="24"/>
        </w:rPr>
        <w:t>późn</w:t>
      </w:r>
      <w:proofErr w:type="spellEnd"/>
      <w:r w:rsidRPr="003219DF">
        <w:rPr>
          <w:rFonts w:ascii="Times New Roman" w:hAnsi="Times New Roman" w:cs="Times New Roman"/>
          <w:szCs w:val="24"/>
        </w:rPr>
        <w:t>. zm.), zatem nie podlega ono notyfikacji.</w:t>
      </w:r>
    </w:p>
    <w:p w14:paraId="50CAD0AC" w14:textId="4382B2DB" w:rsidR="003219DF" w:rsidRPr="003219DF" w:rsidRDefault="003219DF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="Times New Roman"/>
          <w:bCs/>
          <w:szCs w:val="24"/>
          <w:lang w:eastAsia="en-US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lastRenderedPageBreak/>
        <w:t>V</w:t>
      </w:r>
      <w:r w:rsidR="00025D82">
        <w:rPr>
          <w:rStyle w:val="Ppogrubienie"/>
          <w:rFonts w:ascii="Times New Roman" w:hAnsi="Times New Roman" w:cs="Times New Roman"/>
          <w:szCs w:val="24"/>
        </w:rPr>
        <w:t>I</w:t>
      </w:r>
      <w:r w:rsidRPr="003219DF">
        <w:rPr>
          <w:rStyle w:val="Ppogrubienie"/>
          <w:rFonts w:ascii="Times New Roman" w:hAnsi="Times New Roman" w:cs="Times New Roman"/>
          <w:szCs w:val="24"/>
        </w:rPr>
        <w:t>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 xml:space="preserve">Przedstawienie projektu właściwym organom i instytucjom Unii Europejskiej, </w:t>
      </w:r>
      <w:r w:rsidRPr="003219DF">
        <w:rPr>
          <w:rStyle w:val="Ppogrubienie"/>
          <w:rFonts w:ascii="Times New Roman" w:hAnsi="Times New Roman" w:cs="Times New Roman"/>
          <w:szCs w:val="24"/>
        </w:rPr>
        <w:br/>
        <w:t>w tym Europejskiemu Bankowi Centralnemu, w celu uzyskania opinii, dokonania powiadomienia, konsultacji albo uzgodnienia, jeżeli obowiązek taki wynika z odrębnych przepisów</w:t>
      </w:r>
    </w:p>
    <w:p w14:paraId="4F882E98" w14:textId="3E3A4B51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5C5D99">
        <w:rPr>
          <w:rFonts w:ascii="Times New Roman" w:hAnsi="Times New Roman" w:cs="Times New Roman"/>
          <w:bCs/>
          <w:szCs w:val="24"/>
        </w:rPr>
        <w:t>Projekt rozporządzenia nie wymaga przedstawienia właściwym organom i instytucjom Unii Europejskiej, w tym Europejskiemu Bankowi Centralnemu, w celu uzyskania opinii, dokonania powiadomienia, konsultacji albo uzgodnienia.</w:t>
      </w:r>
    </w:p>
    <w:p w14:paraId="5F816389" w14:textId="081460F1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VI</w:t>
      </w:r>
      <w:r w:rsidR="00025D82">
        <w:rPr>
          <w:rStyle w:val="Ppogrubienie"/>
          <w:rFonts w:ascii="Times New Roman" w:hAnsi="Times New Roman" w:cs="Times New Roman"/>
          <w:szCs w:val="24"/>
        </w:rPr>
        <w:t>I</w:t>
      </w:r>
      <w:r w:rsidRPr="003219DF">
        <w:rPr>
          <w:rStyle w:val="Ppogrubienie"/>
          <w:rFonts w:ascii="Times New Roman" w:hAnsi="Times New Roman" w:cs="Times New Roman"/>
          <w:szCs w:val="24"/>
        </w:rPr>
        <w:t>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Udostępnienie w Biuletynie Informacji Publicznej</w:t>
      </w:r>
    </w:p>
    <w:p w14:paraId="4E916516" w14:textId="38F576F4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3219DF">
        <w:rPr>
          <w:rFonts w:ascii="Times New Roman" w:hAnsi="Times New Roman" w:cs="Times New Roman"/>
          <w:szCs w:val="24"/>
        </w:rPr>
        <w:t xml:space="preserve">Zgodnie z § 52 uchwały nr 190 Rady Ministrów z dnia 29 października 2013 r. – Regulamin pracy Rady Ministrów </w:t>
      </w:r>
      <w:r w:rsidRPr="003219DF">
        <w:rPr>
          <w:rFonts w:ascii="Times New Roman" w:hAnsi="Times New Roman" w:cs="Times New Roman"/>
        </w:rPr>
        <w:t>(</w:t>
      </w:r>
      <w:r w:rsidRPr="003219DF">
        <w:rPr>
          <w:rFonts w:ascii="Times New Roman" w:hAnsi="Times New Roman" w:cs="Times New Roman"/>
          <w:szCs w:val="24"/>
        </w:rPr>
        <w:t>M.P. z 202</w:t>
      </w:r>
      <w:r w:rsidR="005C5D99">
        <w:rPr>
          <w:rFonts w:ascii="Times New Roman" w:hAnsi="Times New Roman" w:cs="Times New Roman"/>
          <w:szCs w:val="24"/>
        </w:rPr>
        <w:t>4</w:t>
      </w:r>
      <w:r w:rsidRPr="003219DF">
        <w:rPr>
          <w:rFonts w:ascii="Times New Roman" w:hAnsi="Times New Roman" w:cs="Times New Roman"/>
          <w:szCs w:val="24"/>
        </w:rPr>
        <w:t xml:space="preserve"> r. poz.</w:t>
      </w:r>
      <w:r w:rsidR="005C5D99">
        <w:rPr>
          <w:rFonts w:ascii="Times New Roman" w:hAnsi="Times New Roman" w:cs="Times New Roman"/>
          <w:szCs w:val="24"/>
        </w:rPr>
        <w:t xml:space="preserve"> 806</w:t>
      </w:r>
      <w:r w:rsidR="001D0E17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="001D0E17">
        <w:rPr>
          <w:rFonts w:ascii="Times New Roman" w:hAnsi="Times New Roman" w:cs="Times New Roman"/>
          <w:szCs w:val="24"/>
        </w:rPr>
        <w:t>późn</w:t>
      </w:r>
      <w:proofErr w:type="spellEnd"/>
      <w:r w:rsidR="001D0E17">
        <w:rPr>
          <w:rFonts w:ascii="Times New Roman" w:hAnsi="Times New Roman" w:cs="Times New Roman"/>
          <w:szCs w:val="24"/>
        </w:rPr>
        <w:t>. zm.</w:t>
      </w:r>
      <w:r w:rsidRPr="003219DF">
        <w:rPr>
          <w:rFonts w:ascii="Times New Roman" w:hAnsi="Times New Roman" w:cs="Times New Roman"/>
        </w:rPr>
        <w:t>)</w:t>
      </w:r>
      <w:r w:rsidRPr="003219DF">
        <w:rPr>
          <w:rFonts w:ascii="Times New Roman" w:hAnsi="Times New Roman" w:cs="Times New Roman"/>
          <w:szCs w:val="24"/>
        </w:rPr>
        <w:t xml:space="preserve">, projekt rozporządzenia </w:t>
      </w:r>
      <w:r w:rsidR="001D0E17" w:rsidRPr="003219DF">
        <w:rPr>
          <w:rFonts w:ascii="Times New Roman" w:hAnsi="Times New Roman" w:cs="Times New Roman"/>
          <w:szCs w:val="24"/>
        </w:rPr>
        <w:t>zosta</w:t>
      </w:r>
      <w:r w:rsidR="001D0E17">
        <w:rPr>
          <w:rFonts w:ascii="Times New Roman" w:hAnsi="Times New Roman" w:cs="Times New Roman"/>
          <w:szCs w:val="24"/>
        </w:rPr>
        <w:t>ł</w:t>
      </w:r>
      <w:r w:rsidR="001D0E17" w:rsidRPr="003219DF">
        <w:rPr>
          <w:rFonts w:ascii="Times New Roman" w:hAnsi="Times New Roman" w:cs="Times New Roman"/>
          <w:szCs w:val="24"/>
        </w:rPr>
        <w:t xml:space="preserve"> </w:t>
      </w:r>
      <w:r w:rsidRPr="003219DF">
        <w:rPr>
          <w:rFonts w:ascii="Times New Roman" w:hAnsi="Times New Roman" w:cs="Times New Roman"/>
          <w:szCs w:val="24"/>
        </w:rPr>
        <w:t>udostępniony w Biuletynie Informacji Publicznej na stronie podmiotowej Rządowego Centrum Legislacji w serwisie Rządowy Proces Legislacyjny, z chwilą przekazania do uzgodnień</w:t>
      </w:r>
      <w:r w:rsidR="00FC31CD">
        <w:rPr>
          <w:rFonts w:ascii="Times New Roman" w:hAnsi="Times New Roman" w:cs="Times New Roman"/>
          <w:szCs w:val="24"/>
        </w:rPr>
        <w:t>, opiniowania</w:t>
      </w:r>
      <w:r w:rsidRPr="003219DF">
        <w:rPr>
          <w:rFonts w:ascii="Times New Roman" w:hAnsi="Times New Roman" w:cs="Times New Roman"/>
          <w:szCs w:val="24"/>
        </w:rPr>
        <w:t xml:space="preserve"> i konsultacji publicznych.</w:t>
      </w:r>
    </w:p>
    <w:sectPr w:rsidR="003219DF" w:rsidSect="00064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7DCFE" w14:textId="77777777" w:rsidR="00EC75F8" w:rsidRDefault="00EC75F8" w:rsidP="00F95FB3">
      <w:pPr>
        <w:spacing w:after="0" w:line="240" w:lineRule="auto"/>
      </w:pPr>
      <w:r>
        <w:separator/>
      </w:r>
    </w:p>
  </w:endnote>
  <w:endnote w:type="continuationSeparator" w:id="0">
    <w:p w14:paraId="0CCF5724" w14:textId="77777777" w:rsidR="00EC75F8" w:rsidRDefault="00EC75F8" w:rsidP="00F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366095"/>
      <w:docPartObj>
        <w:docPartGallery w:val="Page Numbers (Bottom of Page)"/>
        <w:docPartUnique/>
      </w:docPartObj>
    </w:sdtPr>
    <w:sdtEndPr/>
    <w:sdtContent>
      <w:p w14:paraId="501294AA" w14:textId="6FEDAE23" w:rsidR="0039257D" w:rsidRDefault="003925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71A">
          <w:rPr>
            <w:noProof/>
          </w:rPr>
          <w:t>1</w:t>
        </w:r>
        <w:r>
          <w:fldChar w:fldCharType="end"/>
        </w:r>
      </w:p>
    </w:sdtContent>
  </w:sdt>
  <w:p w14:paraId="73DE1A5E" w14:textId="77777777" w:rsidR="0039257D" w:rsidRDefault="00392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8521" w14:textId="77777777" w:rsidR="00EC75F8" w:rsidRDefault="00EC75F8" w:rsidP="00F95FB3">
      <w:pPr>
        <w:spacing w:after="0" w:line="240" w:lineRule="auto"/>
      </w:pPr>
      <w:r>
        <w:separator/>
      </w:r>
    </w:p>
  </w:footnote>
  <w:footnote w:type="continuationSeparator" w:id="0">
    <w:p w14:paraId="1A341DBC" w14:textId="77777777" w:rsidR="00EC75F8" w:rsidRDefault="00EC75F8" w:rsidP="00F9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3BA"/>
    <w:multiLevelType w:val="hybridMultilevel"/>
    <w:tmpl w:val="FD4E44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E7BBF"/>
    <w:multiLevelType w:val="hybridMultilevel"/>
    <w:tmpl w:val="E6D0673C"/>
    <w:lvl w:ilvl="0" w:tplc="2500D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0F75"/>
    <w:multiLevelType w:val="hybridMultilevel"/>
    <w:tmpl w:val="C134805A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1E305391"/>
    <w:multiLevelType w:val="hybridMultilevel"/>
    <w:tmpl w:val="4B30E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B80"/>
    <w:multiLevelType w:val="hybridMultilevel"/>
    <w:tmpl w:val="6A3869FE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82E7D91"/>
    <w:multiLevelType w:val="hybridMultilevel"/>
    <w:tmpl w:val="09CC189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E91107F"/>
    <w:multiLevelType w:val="hybridMultilevel"/>
    <w:tmpl w:val="0E52C42E"/>
    <w:lvl w:ilvl="0" w:tplc="C56417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9D1955"/>
    <w:multiLevelType w:val="hybridMultilevel"/>
    <w:tmpl w:val="C3B0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D04C1"/>
    <w:multiLevelType w:val="hybridMultilevel"/>
    <w:tmpl w:val="057EFF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12A9C"/>
    <w:multiLevelType w:val="hybridMultilevel"/>
    <w:tmpl w:val="BDDAE4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09485C"/>
    <w:multiLevelType w:val="hybridMultilevel"/>
    <w:tmpl w:val="7A9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A2DE5"/>
    <w:multiLevelType w:val="hybridMultilevel"/>
    <w:tmpl w:val="A614FA7A"/>
    <w:lvl w:ilvl="0" w:tplc="F18E8D4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FB"/>
    <w:rsid w:val="000031BE"/>
    <w:rsid w:val="000033AA"/>
    <w:rsid w:val="0000537E"/>
    <w:rsid w:val="00005AAE"/>
    <w:rsid w:val="00006C8B"/>
    <w:rsid w:val="00012C8D"/>
    <w:rsid w:val="00013AB2"/>
    <w:rsid w:val="00013F5E"/>
    <w:rsid w:val="00015022"/>
    <w:rsid w:val="00015076"/>
    <w:rsid w:val="0001542A"/>
    <w:rsid w:val="00015618"/>
    <w:rsid w:val="0002089E"/>
    <w:rsid w:val="00020B48"/>
    <w:rsid w:val="00021153"/>
    <w:rsid w:val="00023B99"/>
    <w:rsid w:val="00023D4E"/>
    <w:rsid w:val="00025D82"/>
    <w:rsid w:val="00025EB8"/>
    <w:rsid w:val="00026343"/>
    <w:rsid w:val="00031948"/>
    <w:rsid w:val="000321B7"/>
    <w:rsid w:val="00032FAF"/>
    <w:rsid w:val="00034130"/>
    <w:rsid w:val="00035545"/>
    <w:rsid w:val="000366A6"/>
    <w:rsid w:val="0003793B"/>
    <w:rsid w:val="000416EF"/>
    <w:rsid w:val="00044A14"/>
    <w:rsid w:val="00045E7F"/>
    <w:rsid w:val="00046F44"/>
    <w:rsid w:val="00047CC6"/>
    <w:rsid w:val="00047CD1"/>
    <w:rsid w:val="000500C0"/>
    <w:rsid w:val="00050D58"/>
    <w:rsid w:val="0005124B"/>
    <w:rsid w:val="00051CB3"/>
    <w:rsid w:val="000537E5"/>
    <w:rsid w:val="00054985"/>
    <w:rsid w:val="00056EF3"/>
    <w:rsid w:val="000608B4"/>
    <w:rsid w:val="000608E5"/>
    <w:rsid w:val="00062162"/>
    <w:rsid w:val="00062768"/>
    <w:rsid w:val="00063B5B"/>
    <w:rsid w:val="00064562"/>
    <w:rsid w:val="00065DC1"/>
    <w:rsid w:val="00071FCF"/>
    <w:rsid w:val="00072EE5"/>
    <w:rsid w:val="00073F3B"/>
    <w:rsid w:val="00076B7A"/>
    <w:rsid w:val="0007723C"/>
    <w:rsid w:val="000814A5"/>
    <w:rsid w:val="00082CAB"/>
    <w:rsid w:val="00083963"/>
    <w:rsid w:val="00083BA3"/>
    <w:rsid w:val="0008580D"/>
    <w:rsid w:val="0008646B"/>
    <w:rsid w:val="0008693E"/>
    <w:rsid w:val="00086CE6"/>
    <w:rsid w:val="000901C0"/>
    <w:rsid w:val="00093398"/>
    <w:rsid w:val="000938DA"/>
    <w:rsid w:val="00093E85"/>
    <w:rsid w:val="00094328"/>
    <w:rsid w:val="000958C4"/>
    <w:rsid w:val="0009715F"/>
    <w:rsid w:val="000A0032"/>
    <w:rsid w:val="000A0DD2"/>
    <w:rsid w:val="000A3320"/>
    <w:rsid w:val="000A37F7"/>
    <w:rsid w:val="000A436F"/>
    <w:rsid w:val="000A4D90"/>
    <w:rsid w:val="000A58C5"/>
    <w:rsid w:val="000A5C6B"/>
    <w:rsid w:val="000B06C3"/>
    <w:rsid w:val="000B084D"/>
    <w:rsid w:val="000B1E22"/>
    <w:rsid w:val="000B488A"/>
    <w:rsid w:val="000C0B92"/>
    <w:rsid w:val="000C0C0F"/>
    <w:rsid w:val="000C2F1E"/>
    <w:rsid w:val="000C445B"/>
    <w:rsid w:val="000C45F0"/>
    <w:rsid w:val="000C635F"/>
    <w:rsid w:val="000C6CDF"/>
    <w:rsid w:val="000C725F"/>
    <w:rsid w:val="000C772D"/>
    <w:rsid w:val="000D1135"/>
    <w:rsid w:val="000D1C7A"/>
    <w:rsid w:val="000D1F67"/>
    <w:rsid w:val="000D254D"/>
    <w:rsid w:val="000D28D6"/>
    <w:rsid w:val="000D6C27"/>
    <w:rsid w:val="000E163D"/>
    <w:rsid w:val="000E1F1B"/>
    <w:rsid w:val="000E2128"/>
    <w:rsid w:val="000E225B"/>
    <w:rsid w:val="000E254C"/>
    <w:rsid w:val="000E2ED6"/>
    <w:rsid w:val="000E3406"/>
    <w:rsid w:val="000E4382"/>
    <w:rsid w:val="000E43BD"/>
    <w:rsid w:val="000E4816"/>
    <w:rsid w:val="000E6185"/>
    <w:rsid w:val="000F0D35"/>
    <w:rsid w:val="000F611A"/>
    <w:rsid w:val="000F6F3F"/>
    <w:rsid w:val="000F72B4"/>
    <w:rsid w:val="000F7992"/>
    <w:rsid w:val="001012C6"/>
    <w:rsid w:val="00102B6E"/>
    <w:rsid w:val="001034C6"/>
    <w:rsid w:val="001049D8"/>
    <w:rsid w:val="00115E65"/>
    <w:rsid w:val="00117619"/>
    <w:rsid w:val="00117F82"/>
    <w:rsid w:val="00120909"/>
    <w:rsid w:val="00120D2B"/>
    <w:rsid w:val="00121AF3"/>
    <w:rsid w:val="00122060"/>
    <w:rsid w:val="00124978"/>
    <w:rsid w:val="00125830"/>
    <w:rsid w:val="0012781A"/>
    <w:rsid w:val="00130386"/>
    <w:rsid w:val="00130C3D"/>
    <w:rsid w:val="00130FC5"/>
    <w:rsid w:val="00134854"/>
    <w:rsid w:val="0013503B"/>
    <w:rsid w:val="001356A0"/>
    <w:rsid w:val="0013685F"/>
    <w:rsid w:val="00136CB9"/>
    <w:rsid w:val="00137106"/>
    <w:rsid w:val="00137347"/>
    <w:rsid w:val="0014071F"/>
    <w:rsid w:val="001449C7"/>
    <w:rsid w:val="00155417"/>
    <w:rsid w:val="00155F0A"/>
    <w:rsid w:val="001567C8"/>
    <w:rsid w:val="00157875"/>
    <w:rsid w:val="00162CDB"/>
    <w:rsid w:val="00166A8D"/>
    <w:rsid w:val="00166EB7"/>
    <w:rsid w:val="00172DB5"/>
    <w:rsid w:val="001769B5"/>
    <w:rsid w:val="00177E12"/>
    <w:rsid w:val="00184148"/>
    <w:rsid w:val="0018578B"/>
    <w:rsid w:val="00185A13"/>
    <w:rsid w:val="0018601B"/>
    <w:rsid w:val="0018603F"/>
    <w:rsid w:val="00186E10"/>
    <w:rsid w:val="0019047B"/>
    <w:rsid w:val="001910AB"/>
    <w:rsid w:val="00192C12"/>
    <w:rsid w:val="001A001D"/>
    <w:rsid w:val="001A20E9"/>
    <w:rsid w:val="001A35B8"/>
    <w:rsid w:val="001A47FB"/>
    <w:rsid w:val="001A5FB1"/>
    <w:rsid w:val="001A6264"/>
    <w:rsid w:val="001B1751"/>
    <w:rsid w:val="001B1A87"/>
    <w:rsid w:val="001B325A"/>
    <w:rsid w:val="001B7DEA"/>
    <w:rsid w:val="001C0039"/>
    <w:rsid w:val="001C1F76"/>
    <w:rsid w:val="001C5928"/>
    <w:rsid w:val="001C5B5A"/>
    <w:rsid w:val="001C66A5"/>
    <w:rsid w:val="001C71C9"/>
    <w:rsid w:val="001D0E17"/>
    <w:rsid w:val="001D3E2B"/>
    <w:rsid w:val="001D63D4"/>
    <w:rsid w:val="001D7879"/>
    <w:rsid w:val="001E0801"/>
    <w:rsid w:val="001E0CD2"/>
    <w:rsid w:val="001E218B"/>
    <w:rsid w:val="001E275D"/>
    <w:rsid w:val="001E2965"/>
    <w:rsid w:val="001E2FA7"/>
    <w:rsid w:val="001F0627"/>
    <w:rsid w:val="001F1029"/>
    <w:rsid w:val="001F2273"/>
    <w:rsid w:val="001F243C"/>
    <w:rsid w:val="001F2864"/>
    <w:rsid w:val="001F2AFA"/>
    <w:rsid w:val="001F595E"/>
    <w:rsid w:val="001F75BA"/>
    <w:rsid w:val="001F782E"/>
    <w:rsid w:val="00200A5C"/>
    <w:rsid w:val="00200A91"/>
    <w:rsid w:val="002029C9"/>
    <w:rsid w:val="00205D9E"/>
    <w:rsid w:val="00206233"/>
    <w:rsid w:val="00207C1B"/>
    <w:rsid w:val="00213BB8"/>
    <w:rsid w:val="00215888"/>
    <w:rsid w:val="00215BE3"/>
    <w:rsid w:val="00216C1F"/>
    <w:rsid w:val="0022771C"/>
    <w:rsid w:val="002305DD"/>
    <w:rsid w:val="00230CE4"/>
    <w:rsid w:val="00230E86"/>
    <w:rsid w:val="00232D3A"/>
    <w:rsid w:val="00234819"/>
    <w:rsid w:val="00240656"/>
    <w:rsid w:val="0024309A"/>
    <w:rsid w:val="00244DDB"/>
    <w:rsid w:val="00245052"/>
    <w:rsid w:val="0024710C"/>
    <w:rsid w:val="00247325"/>
    <w:rsid w:val="00247D25"/>
    <w:rsid w:val="002526B6"/>
    <w:rsid w:val="00252B6A"/>
    <w:rsid w:val="002606AA"/>
    <w:rsid w:val="00263470"/>
    <w:rsid w:val="0026402D"/>
    <w:rsid w:val="002653F2"/>
    <w:rsid w:val="002727A0"/>
    <w:rsid w:val="00272B99"/>
    <w:rsid w:val="0027344B"/>
    <w:rsid w:val="00277723"/>
    <w:rsid w:val="0027776A"/>
    <w:rsid w:val="002778C8"/>
    <w:rsid w:val="00280861"/>
    <w:rsid w:val="00281242"/>
    <w:rsid w:val="00281D92"/>
    <w:rsid w:val="002827B6"/>
    <w:rsid w:val="0028468C"/>
    <w:rsid w:val="002851A1"/>
    <w:rsid w:val="00285D57"/>
    <w:rsid w:val="00285ED0"/>
    <w:rsid w:val="00286746"/>
    <w:rsid w:val="00287CDC"/>
    <w:rsid w:val="00290DEA"/>
    <w:rsid w:val="00291404"/>
    <w:rsid w:val="0029386D"/>
    <w:rsid w:val="002948A4"/>
    <w:rsid w:val="002A0959"/>
    <w:rsid w:val="002A0B28"/>
    <w:rsid w:val="002A1459"/>
    <w:rsid w:val="002A1C46"/>
    <w:rsid w:val="002A2881"/>
    <w:rsid w:val="002A2D37"/>
    <w:rsid w:val="002A38DE"/>
    <w:rsid w:val="002A3A4E"/>
    <w:rsid w:val="002A5493"/>
    <w:rsid w:val="002A59C1"/>
    <w:rsid w:val="002A7A0C"/>
    <w:rsid w:val="002B0663"/>
    <w:rsid w:val="002B0C9C"/>
    <w:rsid w:val="002C4585"/>
    <w:rsid w:val="002C7683"/>
    <w:rsid w:val="002D25B4"/>
    <w:rsid w:val="002D2665"/>
    <w:rsid w:val="002D3A71"/>
    <w:rsid w:val="002D596A"/>
    <w:rsid w:val="002D6C4D"/>
    <w:rsid w:val="002E230A"/>
    <w:rsid w:val="002E3674"/>
    <w:rsid w:val="002E3A66"/>
    <w:rsid w:val="002E6053"/>
    <w:rsid w:val="002E6B1F"/>
    <w:rsid w:val="002E71E9"/>
    <w:rsid w:val="002E7C16"/>
    <w:rsid w:val="002F34FE"/>
    <w:rsid w:val="002F36E0"/>
    <w:rsid w:val="002F56F5"/>
    <w:rsid w:val="00304832"/>
    <w:rsid w:val="00306444"/>
    <w:rsid w:val="00307A93"/>
    <w:rsid w:val="00311156"/>
    <w:rsid w:val="00312292"/>
    <w:rsid w:val="00312C07"/>
    <w:rsid w:val="00314323"/>
    <w:rsid w:val="003206C8"/>
    <w:rsid w:val="00320A01"/>
    <w:rsid w:val="0032116E"/>
    <w:rsid w:val="003219DF"/>
    <w:rsid w:val="003249C4"/>
    <w:rsid w:val="00325C9D"/>
    <w:rsid w:val="00326341"/>
    <w:rsid w:val="003270C2"/>
    <w:rsid w:val="00330193"/>
    <w:rsid w:val="0033055B"/>
    <w:rsid w:val="0033080D"/>
    <w:rsid w:val="00332BA8"/>
    <w:rsid w:val="00332BE4"/>
    <w:rsid w:val="0033308B"/>
    <w:rsid w:val="003343B1"/>
    <w:rsid w:val="00336693"/>
    <w:rsid w:val="0033707C"/>
    <w:rsid w:val="003370D9"/>
    <w:rsid w:val="0034035E"/>
    <w:rsid w:val="00341CC0"/>
    <w:rsid w:val="00346631"/>
    <w:rsid w:val="00350F80"/>
    <w:rsid w:val="00351134"/>
    <w:rsid w:val="0035152D"/>
    <w:rsid w:val="00352E76"/>
    <w:rsid w:val="00353C45"/>
    <w:rsid w:val="0035440A"/>
    <w:rsid w:val="00354B89"/>
    <w:rsid w:val="00356843"/>
    <w:rsid w:val="00357942"/>
    <w:rsid w:val="00357AAB"/>
    <w:rsid w:val="0036069E"/>
    <w:rsid w:val="003624D7"/>
    <w:rsid w:val="003641D3"/>
    <w:rsid w:val="00364BB3"/>
    <w:rsid w:val="00364C89"/>
    <w:rsid w:val="00365AE2"/>
    <w:rsid w:val="00365EEB"/>
    <w:rsid w:val="00366292"/>
    <w:rsid w:val="00371239"/>
    <w:rsid w:val="0037171E"/>
    <w:rsid w:val="00371BE4"/>
    <w:rsid w:val="0037296C"/>
    <w:rsid w:val="00372A12"/>
    <w:rsid w:val="00372A1E"/>
    <w:rsid w:val="00373553"/>
    <w:rsid w:val="00373FCA"/>
    <w:rsid w:val="003779EE"/>
    <w:rsid w:val="003807F0"/>
    <w:rsid w:val="00383030"/>
    <w:rsid w:val="00385985"/>
    <w:rsid w:val="00387139"/>
    <w:rsid w:val="00391609"/>
    <w:rsid w:val="0039257D"/>
    <w:rsid w:val="00392F46"/>
    <w:rsid w:val="00395018"/>
    <w:rsid w:val="00397243"/>
    <w:rsid w:val="00397B43"/>
    <w:rsid w:val="00397CC4"/>
    <w:rsid w:val="003A75A6"/>
    <w:rsid w:val="003B04CD"/>
    <w:rsid w:val="003B1D5D"/>
    <w:rsid w:val="003B4338"/>
    <w:rsid w:val="003B4FEB"/>
    <w:rsid w:val="003C0551"/>
    <w:rsid w:val="003C0576"/>
    <w:rsid w:val="003C0B43"/>
    <w:rsid w:val="003C111C"/>
    <w:rsid w:val="003C2970"/>
    <w:rsid w:val="003C7047"/>
    <w:rsid w:val="003D1602"/>
    <w:rsid w:val="003D295D"/>
    <w:rsid w:val="003D3FC0"/>
    <w:rsid w:val="003E34D6"/>
    <w:rsid w:val="003E7F3C"/>
    <w:rsid w:val="003F5DC1"/>
    <w:rsid w:val="003F7192"/>
    <w:rsid w:val="00401465"/>
    <w:rsid w:val="0040213E"/>
    <w:rsid w:val="004024FE"/>
    <w:rsid w:val="00403DDF"/>
    <w:rsid w:val="00404E9D"/>
    <w:rsid w:val="004072D0"/>
    <w:rsid w:val="004112BB"/>
    <w:rsid w:val="00411CC4"/>
    <w:rsid w:val="004138E8"/>
    <w:rsid w:val="00413E09"/>
    <w:rsid w:val="00413FFC"/>
    <w:rsid w:val="004147F8"/>
    <w:rsid w:val="00414D22"/>
    <w:rsid w:val="00416683"/>
    <w:rsid w:val="00416F6B"/>
    <w:rsid w:val="0041758E"/>
    <w:rsid w:val="00417D00"/>
    <w:rsid w:val="004235B2"/>
    <w:rsid w:val="004239E1"/>
    <w:rsid w:val="004305C8"/>
    <w:rsid w:val="00435EC8"/>
    <w:rsid w:val="004409A9"/>
    <w:rsid w:val="00441731"/>
    <w:rsid w:val="004420D8"/>
    <w:rsid w:val="004427B6"/>
    <w:rsid w:val="00442A28"/>
    <w:rsid w:val="00442ED1"/>
    <w:rsid w:val="00444A40"/>
    <w:rsid w:val="00444FDE"/>
    <w:rsid w:val="00450C23"/>
    <w:rsid w:val="004525B3"/>
    <w:rsid w:val="0045522C"/>
    <w:rsid w:val="0045796C"/>
    <w:rsid w:val="004618B6"/>
    <w:rsid w:val="004635FE"/>
    <w:rsid w:val="00464707"/>
    <w:rsid w:val="00464F18"/>
    <w:rsid w:val="00470CEF"/>
    <w:rsid w:val="004745F5"/>
    <w:rsid w:val="00475813"/>
    <w:rsid w:val="00477698"/>
    <w:rsid w:val="0047790D"/>
    <w:rsid w:val="00481B31"/>
    <w:rsid w:val="00491739"/>
    <w:rsid w:val="00491A9A"/>
    <w:rsid w:val="004923B9"/>
    <w:rsid w:val="00493736"/>
    <w:rsid w:val="00494AB8"/>
    <w:rsid w:val="004964C5"/>
    <w:rsid w:val="00496612"/>
    <w:rsid w:val="004A2E37"/>
    <w:rsid w:val="004A48A2"/>
    <w:rsid w:val="004A4B66"/>
    <w:rsid w:val="004A5063"/>
    <w:rsid w:val="004A67B9"/>
    <w:rsid w:val="004A6C65"/>
    <w:rsid w:val="004B0618"/>
    <w:rsid w:val="004B0CFD"/>
    <w:rsid w:val="004B2298"/>
    <w:rsid w:val="004B4FA2"/>
    <w:rsid w:val="004B549E"/>
    <w:rsid w:val="004B5891"/>
    <w:rsid w:val="004B64B2"/>
    <w:rsid w:val="004B6C57"/>
    <w:rsid w:val="004C21BC"/>
    <w:rsid w:val="004C29B7"/>
    <w:rsid w:val="004C2C1C"/>
    <w:rsid w:val="004C318E"/>
    <w:rsid w:val="004C39D3"/>
    <w:rsid w:val="004C4297"/>
    <w:rsid w:val="004D0966"/>
    <w:rsid w:val="004D0B46"/>
    <w:rsid w:val="004D40EE"/>
    <w:rsid w:val="004D42CE"/>
    <w:rsid w:val="004D56FB"/>
    <w:rsid w:val="004D6D0C"/>
    <w:rsid w:val="004E05DF"/>
    <w:rsid w:val="004E1F7D"/>
    <w:rsid w:val="004E22CC"/>
    <w:rsid w:val="004E4022"/>
    <w:rsid w:val="004E42CF"/>
    <w:rsid w:val="004E59B9"/>
    <w:rsid w:val="004E5C88"/>
    <w:rsid w:val="004E6276"/>
    <w:rsid w:val="004F0A3C"/>
    <w:rsid w:val="004F16F5"/>
    <w:rsid w:val="004F1CFC"/>
    <w:rsid w:val="004F390F"/>
    <w:rsid w:val="004F48C3"/>
    <w:rsid w:val="00501328"/>
    <w:rsid w:val="005055FB"/>
    <w:rsid w:val="00510297"/>
    <w:rsid w:val="00511BEC"/>
    <w:rsid w:val="00512B90"/>
    <w:rsid w:val="005145C3"/>
    <w:rsid w:val="00515126"/>
    <w:rsid w:val="00515C9B"/>
    <w:rsid w:val="005166B9"/>
    <w:rsid w:val="005175F2"/>
    <w:rsid w:val="005205A9"/>
    <w:rsid w:val="00520A5A"/>
    <w:rsid w:val="00524085"/>
    <w:rsid w:val="0052435E"/>
    <w:rsid w:val="00526694"/>
    <w:rsid w:val="00530566"/>
    <w:rsid w:val="00531711"/>
    <w:rsid w:val="00534780"/>
    <w:rsid w:val="00535373"/>
    <w:rsid w:val="005355DA"/>
    <w:rsid w:val="0053570D"/>
    <w:rsid w:val="0053736E"/>
    <w:rsid w:val="00537E66"/>
    <w:rsid w:val="00537FF4"/>
    <w:rsid w:val="005419FB"/>
    <w:rsid w:val="00541BDD"/>
    <w:rsid w:val="005435A2"/>
    <w:rsid w:val="005448DF"/>
    <w:rsid w:val="005452C3"/>
    <w:rsid w:val="0054617F"/>
    <w:rsid w:val="00546D70"/>
    <w:rsid w:val="00547287"/>
    <w:rsid w:val="00551C0B"/>
    <w:rsid w:val="00553D51"/>
    <w:rsid w:val="00554166"/>
    <w:rsid w:val="00556A29"/>
    <w:rsid w:val="005622DB"/>
    <w:rsid w:val="005638E5"/>
    <w:rsid w:val="00563A2A"/>
    <w:rsid w:val="0056488B"/>
    <w:rsid w:val="00564AF2"/>
    <w:rsid w:val="00564C48"/>
    <w:rsid w:val="0056703A"/>
    <w:rsid w:val="005714B1"/>
    <w:rsid w:val="00574328"/>
    <w:rsid w:val="00575B80"/>
    <w:rsid w:val="00577085"/>
    <w:rsid w:val="0057791C"/>
    <w:rsid w:val="005801A4"/>
    <w:rsid w:val="00583E6E"/>
    <w:rsid w:val="00584602"/>
    <w:rsid w:val="00584E97"/>
    <w:rsid w:val="005854D8"/>
    <w:rsid w:val="00585FDE"/>
    <w:rsid w:val="0058710A"/>
    <w:rsid w:val="00587C42"/>
    <w:rsid w:val="00590C7C"/>
    <w:rsid w:val="00593668"/>
    <w:rsid w:val="00597631"/>
    <w:rsid w:val="005A523C"/>
    <w:rsid w:val="005A54EB"/>
    <w:rsid w:val="005A6EE2"/>
    <w:rsid w:val="005A7CB2"/>
    <w:rsid w:val="005B4382"/>
    <w:rsid w:val="005C1978"/>
    <w:rsid w:val="005C1CD1"/>
    <w:rsid w:val="005C306C"/>
    <w:rsid w:val="005C5D99"/>
    <w:rsid w:val="005C70D0"/>
    <w:rsid w:val="005C73B0"/>
    <w:rsid w:val="005C74FB"/>
    <w:rsid w:val="005C771A"/>
    <w:rsid w:val="005D76BF"/>
    <w:rsid w:val="005E004F"/>
    <w:rsid w:val="005E067D"/>
    <w:rsid w:val="005E077D"/>
    <w:rsid w:val="005E4B02"/>
    <w:rsid w:val="005E4ED5"/>
    <w:rsid w:val="005E6831"/>
    <w:rsid w:val="005F1A4B"/>
    <w:rsid w:val="005F1E79"/>
    <w:rsid w:val="005F21B3"/>
    <w:rsid w:val="005F38AF"/>
    <w:rsid w:val="005F4947"/>
    <w:rsid w:val="005F4E5C"/>
    <w:rsid w:val="005F51B3"/>
    <w:rsid w:val="005F650E"/>
    <w:rsid w:val="00602082"/>
    <w:rsid w:val="00603B77"/>
    <w:rsid w:val="0060424B"/>
    <w:rsid w:val="0060459B"/>
    <w:rsid w:val="006050ED"/>
    <w:rsid w:val="00605AC1"/>
    <w:rsid w:val="00612944"/>
    <w:rsid w:val="006151E6"/>
    <w:rsid w:val="00617516"/>
    <w:rsid w:val="00620AE8"/>
    <w:rsid w:val="00621035"/>
    <w:rsid w:val="00621BD4"/>
    <w:rsid w:val="00621D77"/>
    <w:rsid w:val="00623204"/>
    <w:rsid w:val="006237F4"/>
    <w:rsid w:val="00624C6D"/>
    <w:rsid w:val="006264BC"/>
    <w:rsid w:val="006273FD"/>
    <w:rsid w:val="00627DFF"/>
    <w:rsid w:val="0063416D"/>
    <w:rsid w:val="00634CFC"/>
    <w:rsid w:val="00635A79"/>
    <w:rsid w:val="00635F4F"/>
    <w:rsid w:val="00636E1F"/>
    <w:rsid w:val="00637490"/>
    <w:rsid w:val="006400FA"/>
    <w:rsid w:val="006402DD"/>
    <w:rsid w:val="006404BE"/>
    <w:rsid w:val="00641A96"/>
    <w:rsid w:val="006427CE"/>
    <w:rsid w:val="00646D89"/>
    <w:rsid w:val="00650FAA"/>
    <w:rsid w:val="006528B1"/>
    <w:rsid w:val="006531A3"/>
    <w:rsid w:val="00653818"/>
    <w:rsid w:val="00653E80"/>
    <w:rsid w:val="0066021B"/>
    <w:rsid w:val="006610AD"/>
    <w:rsid w:val="00661E70"/>
    <w:rsid w:val="006666B7"/>
    <w:rsid w:val="00670FBA"/>
    <w:rsid w:val="0067797B"/>
    <w:rsid w:val="00680FA9"/>
    <w:rsid w:val="00681259"/>
    <w:rsid w:val="006823F6"/>
    <w:rsid w:val="00683623"/>
    <w:rsid w:val="0068691C"/>
    <w:rsid w:val="00690645"/>
    <w:rsid w:val="00692E33"/>
    <w:rsid w:val="00694398"/>
    <w:rsid w:val="00694CF4"/>
    <w:rsid w:val="00697989"/>
    <w:rsid w:val="00697F82"/>
    <w:rsid w:val="006A29F5"/>
    <w:rsid w:val="006A2AA0"/>
    <w:rsid w:val="006A4E58"/>
    <w:rsid w:val="006A538B"/>
    <w:rsid w:val="006A799F"/>
    <w:rsid w:val="006A7D66"/>
    <w:rsid w:val="006B323D"/>
    <w:rsid w:val="006B39BC"/>
    <w:rsid w:val="006B4089"/>
    <w:rsid w:val="006B6409"/>
    <w:rsid w:val="006B71F3"/>
    <w:rsid w:val="006C0940"/>
    <w:rsid w:val="006C27F8"/>
    <w:rsid w:val="006C29C7"/>
    <w:rsid w:val="006C517F"/>
    <w:rsid w:val="006C7E70"/>
    <w:rsid w:val="006D3D79"/>
    <w:rsid w:val="006E06A1"/>
    <w:rsid w:val="006E2732"/>
    <w:rsid w:val="006E2A9C"/>
    <w:rsid w:val="006E2B7E"/>
    <w:rsid w:val="006E3B86"/>
    <w:rsid w:val="006E6BC7"/>
    <w:rsid w:val="006E7CA1"/>
    <w:rsid w:val="006F435A"/>
    <w:rsid w:val="006F7AAF"/>
    <w:rsid w:val="00705561"/>
    <w:rsid w:val="00707CF9"/>
    <w:rsid w:val="00710179"/>
    <w:rsid w:val="00712344"/>
    <w:rsid w:val="00712C48"/>
    <w:rsid w:val="007133AE"/>
    <w:rsid w:val="007146AB"/>
    <w:rsid w:val="00732F6B"/>
    <w:rsid w:val="00733E2C"/>
    <w:rsid w:val="007362AD"/>
    <w:rsid w:val="007363E6"/>
    <w:rsid w:val="00736C06"/>
    <w:rsid w:val="0074151B"/>
    <w:rsid w:val="00741A95"/>
    <w:rsid w:val="00741D57"/>
    <w:rsid w:val="00742037"/>
    <w:rsid w:val="007425E3"/>
    <w:rsid w:val="0074476C"/>
    <w:rsid w:val="00746ECC"/>
    <w:rsid w:val="00750D09"/>
    <w:rsid w:val="007536A1"/>
    <w:rsid w:val="007566AC"/>
    <w:rsid w:val="007612B9"/>
    <w:rsid w:val="0076134B"/>
    <w:rsid w:val="007673C7"/>
    <w:rsid w:val="007704F7"/>
    <w:rsid w:val="007712D3"/>
    <w:rsid w:val="00772174"/>
    <w:rsid w:val="00773303"/>
    <w:rsid w:val="00774B93"/>
    <w:rsid w:val="00775099"/>
    <w:rsid w:val="007750BA"/>
    <w:rsid w:val="00777159"/>
    <w:rsid w:val="007823FB"/>
    <w:rsid w:val="00786480"/>
    <w:rsid w:val="00792FC0"/>
    <w:rsid w:val="00795DA2"/>
    <w:rsid w:val="007A1D20"/>
    <w:rsid w:val="007A1FD1"/>
    <w:rsid w:val="007B22BF"/>
    <w:rsid w:val="007B25E3"/>
    <w:rsid w:val="007B3125"/>
    <w:rsid w:val="007B50CD"/>
    <w:rsid w:val="007B765E"/>
    <w:rsid w:val="007C0B03"/>
    <w:rsid w:val="007C1919"/>
    <w:rsid w:val="007C28E7"/>
    <w:rsid w:val="007D0EB0"/>
    <w:rsid w:val="007D1125"/>
    <w:rsid w:val="007D3A45"/>
    <w:rsid w:val="007D501A"/>
    <w:rsid w:val="007D5DD5"/>
    <w:rsid w:val="007E1442"/>
    <w:rsid w:val="007E3F56"/>
    <w:rsid w:val="007E485C"/>
    <w:rsid w:val="007E530F"/>
    <w:rsid w:val="007E5C28"/>
    <w:rsid w:val="007E685C"/>
    <w:rsid w:val="007F06CA"/>
    <w:rsid w:val="007F0D92"/>
    <w:rsid w:val="007F58DA"/>
    <w:rsid w:val="007F6FE4"/>
    <w:rsid w:val="00801CC5"/>
    <w:rsid w:val="0080238B"/>
    <w:rsid w:val="00802DFB"/>
    <w:rsid w:val="00803A2A"/>
    <w:rsid w:val="008045EC"/>
    <w:rsid w:val="008055B9"/>
    <w:rsid w:val="00807258"/>
    <w:rsid w:val="00807711"/>
    <w:rsid w:val="00810DE9"/>
    <w:rsid w:val="008120BE"/>
    <w:rsid w:val="00812D08"/>
    <w:rsid w:val="008142AC"/>
    <w:rsid w:val="0082051C"/>
    <w:rsid w:val="00821977"/>
    <w:rsid w:val="00825A24"/>
    <w:rsid w:val="00832459"/>
    <w:rsid w:val="0083306F"/>
    <w:rsid w:val="00833287"/>
    <w:rsid w:val="00833B6E"/>
    <w:rsid w:val="00833CE9"/>
    <w:rsid w:val="008342AE"/>
    <w:rsid w:val="0084043A"/>
    <w:rsid w:val="0084581B"/>
    <w:rsid w:val="008529C1"/>
    <w:rsid w:val="00852EB1"/>
    <w:rsid w:val="00853966"/>
    <w:rsid w:val="008542D9"/>
    <w:rsid w:val="00854B25"/>
    <w:rsid w:val="00855BB4"/>
    <w:rsid w:val="00856D08"/>
    <w:rsid w:val="008608E8"/>
    <w:rsid w:val="008612F4"/>
    <w:rsid w:val="0086368F"/>
    <w:rsid w:val="00865D0A"/>
    <w:rsid w:val="008665D1"/>
    <w:rsid w:val="00866CB6"/>
    <w:rsid w:val="00870A33"/>
    <w:rsid w:val="00871294"/>
    <w:rsid w:val="008716CA"/>
    <w:rsid w:val="00872B9A"/>
    <w:rsid w:val="0087491E"/>
    <w:rsid w:val="0087638B"/>
    <w:rsid w:val="0087665F"/>
    <w:rsid w:val="008770A9"/>
    <w:rsid w:val="008837EF"/>
    <w:rsid w:val="008838B3"/>
    <w:rsid w:val="00884223"/>
    <w:rsid w:val="00886629"/>
    <w:rsid w:val="00886DB7"/>
    <w:rsid w:val="00890612"/>
    <w:rsid w:val="0089359B"/>
    <w:rsid w:val="0089395C"/>
    <w:rsid w:val="008A2321"/>
    <w:rsid w:val="008A2989"/>
    <w:rsid w:val="008A3ACF"/>
    <w:rsid w:val="008A3E40"/>
    <w:rsid w:val="008A55F9"/>
    <w:rsid w:val="008A71C8"/>
    <w:rsid w:val="008B1010"/>
    <w:rsid w:val="008B29D9"/>
    <w:rsid w:val="008B56BD"/>
    <w:rsid w:val="008B63E3"/>
    <w:rsid w:val="008B72A9"/>
    <w:rsid w:val="008C1986"/>
    <w:rsid w:val="008C1AA5"/>
    <w:rsid w:val="008C46EE"/>
    <w:rsid w:val="008C6FD0"/>
    <w:rsid w:val="008D0628"/>
    <w:rsid w:val="008D0E38"/>
    <w:rsid w:val="008D11DC"/>
    <w:rsid w:val="008D11F0"/>
    <w:rsid w:val="008D1D33"/>
    <w:rsid w:val="008D46B6"/>
    <w:rsid w:val="008D55B8"/>
    <w:rsid w:val="008E1F1A"/>
    <w:rsid w:val="008E7688"/>
    <w:rsid w:val="008E7DA2"/>
    <w:rsid w:val="008F15D0"/>
    <w:rsid w:val="008F45D9"/>
    <w:rsid w:val="008F6CE6"/>
    <w:rsid w:val="008F7069"/>
    <w:rsid w:val="008F7115"/>
    <w:rsid w:val="00900D98"/>
    <w:rsid w:val="0090253B"/>
    <w:rsid w:val="00902F61"/>
    <w:rsid w:val="0090481C"/>
    <w:rsid w:val="0090520E"/>
    <w:rsid w:val="00910FE5"/>
    <w:rsid w:val="00911E7A"/>
    <w:rsid w:val="00911F7D"/>
    <w:rsid w:val="00912ABC"/>
    <w:rsid w:val="009152D2"/>
    <w:rsid w:val="0091596C"/>
    <w:rsid w:val="00917822"/>
    <w:rsid w:val="00921C3D"/>
    <w:rsid w:val="0092512E"/>
    <w:rsid w:val="00930F0B"/>
    <w:rsid w:val="00931665"/>
    <w:rsid w:val="00934741"/>
    <w:rsid w:val="009359C8"/>
    <w:rsid w:val="00936626"/>
    <w:rsid w:val="00936E01"/>
    <w:rsid w:val="009407E1"/>
    <w:rsid w:val="009422D8"/>
    <w:rsid w:val="009467D0"/>
    <w:rsid w:val="00950176"/>
    <w:rsid w:val="009531FE"/>
    <w:rsid w:val="00953647"/>
    <w:rsid w:val="00953701"/>
    <w:rsid w:val="0095510B"/>
    <w:rsid w:val="009572C1"/>
    <w:rsid w:val="00957D75"/>
    <w:rsid w:val="0096105A"/>
    <w:rsid w:val="0096394E"/>
    <w:rsid w:val="00963B1A"/>
    <w:rsid w:val="00967694"/>
    <w:rsid w:val="00970E2D"/>
    <w:rsid w:val="009714A4"/>
    <w:rsid w:val="00971B2A"/>
    <w:rsid w:val="009732DD"/>
    <w:rsid w:val="00973634"/>
    <w:rsid w:val="0097400B"/>
    <w:rsid w:val="009742A4"/>
    <w:rsid w:val="00980DB8"/>
    <w:rsid w:val="00981078"/>
    <w:rsid w:val="00981833"/>
    <w:rsid w:val="00985406"/>
    <w:rsid w:val="009870BE"/>
    <w:rsid w:val="00987A8D"/>
    <w:rsid w:val="00992C03"/>
    <w:rsid w:val="00994167"/>
    <w:rsid w:val="0099487A"/>
    <w:rsid w:val="00995699"/>
    <w:rsid w:val="00995F5B"/>
    <w:rsid w:val="0099796B"/>
    <w:rsid w:val="009A0396"/>
    <w:rsid w:val="009A5D55"/>
    <w:rsid w:val="009B0E3E"/>
    <w:rsid w:val="009C22F7"/>
    <w:rsid w:val="009C50C2"/>
    <w:rsid w:val="009C714D"/>
    <w:rsid w:val="009D2D6E"/>
    <w:rsid w:val="009D303F"/>
    <w:rsid w:val="009D40DA"/>
    <w:rsid w:val="009D6A22"/>
    <w:rsid w:val="009D7463"/>
    <w:rsid w:val="009D7837"/>
    <w:rsid w:val="009D7E76"/>
    <w:rsid w:val="009E0C05"/>
    <w:rsid w:val="009E1B76"/>
    <w:rsid w:val="009E4B41"/>
    <w:rsid w:val="009F0B30"/>
    <w:rsid w:val="009F0D75"/>
    <w:rsid w:val="009F1E4C"/>
    <w:rsid w:val="009F3722"/>
    <w:rsid w:val="009F4B92"/>
    <w:rsid w:val="009F5AA3"/>
    <w:rsid w:val="009F6A49"/>
    <w:rsid w:val="00A01F16"/>
    <w:rsid w:val="00A026F1"/>
    <w:rsid w:val="00A02949"/>
    <w:rsid w:val="00A02D72"/>
    <w:rsid w:val="00A045DA"/>
    <w:rsid w:val="00A06804"/>
    <w:rsid w:val="00A1306E"/>
    <w:rsid w:val="00A136AB"/>
    <w:rsid w:val="00A14182"/>
    <w:rsid w:val="00A153A7"/>
    <w:rsid w:val="00A15BC8"/>
    <w:rsid w:val="00A20826"/>
    <w:rsid w:val="00A22DA0"/>
    <w:rsid w:val="00A238F8"/>
    <w:rsid w:val="00A24D29"/>
    <w:rsid w:val="00A24FE7"/>
    <w:rsid w:val="00A3005C"/>
    <w:rsid w:val="00A308D4"/>
    <w:rsid w:val="00A30DA4"/>
    <w:rsid w:val="00A313EB"/>
    <w:rsid w:val="00A32BEE"/>
    <w:rsid w:val="00A3499E"/>
    <w:rsid w:val="00A34A8B"/>
    <w:rsid w:val="00A36C4E"/>
    <w:rsid w:val="00A37E76"/>
    <w:rsid w:val="00A4165B"/>
    <w:rsid w:val="00A419CA"/>
    <w:rsid w:val="00A41D93"/>
    <w:rsid w:val="00A422FB"/>
    <w:rsid w:val="00A426D9"/>
    <w:rsid w:val="00A447F8"/>
    <w:rsid w:val="00A44CD8"/>
    <w:rsid w:val="00A52E67"/>
    <w:rsid w:val="00A54721"/>
    <w:rsid w:val="00A57C2E"/>
    <w:rsid w:val="00A60E19"/>
    <w:rsid w:val="00A6218C"/>
    <w:rsid w:val="00A63549"/>
    <w:rsid w:val="00A656C1"/>
    <w:rsid w:val="00A66625"/>
    <w:rsid w:val="00A66A01"/>
    <w:rsid w:val="00A67249"/>
    <w:rsid w:val="00A71109"/>
    <w:rsid w:val="00A7284F"/>
    <w:rsid w:val="00A72BCA"/>
    <w:rsid w:val="00A7480C"/>
    <w:rsid w:val="00A76289"/>
    <w:rsid w:val="00A80C3B"/>
    <w:rsid w:val="00A87B2D"/>
    <w:rsid w:val="00A90C13"/>
    <w:rsid w:val="00A91BB3"/>
    <w:rsid w:val="00A93CFC"/>
    <w:rsid w:val="00A94088"/>
    <w:rsid w:val="00A95CD7"/>
    <w:rsid w:val="00A97D44"/>
    <w:rsid w:val="00AA07EC"/>
    <w:rsid w:val="00AA3F95"/>
    <w:rsid w:val="00AA4AB7"/>
    <w:rsid w:val="00AA7097"/>
    <w:rsid w:val="00AA7FFC"/>
    <w:rsid w:val="00AB0C4D"/>
    <w:rsid w:val="00AB10EF"/>
    <w:rsid w:val="00AB3AA2"/>
    <w:rsid w:val="00AB772D"/>
    <w:rsid w:val="00AC1F33"/>
    <w:rsid w:val="00AC4824"/>
    <w:rsid w:val="00AC6DCF"/>
    <w:rsid w:val="00AD467A"/>
    <w:rsid w:val="00AD6BF8"/>
    <w:rsid w:val="00AD78CF"/>
    <w:rsid w:val="00AE0C4E"/>
    <w:rsid w:val="00AE0D81"/>
    <w:rsid w:val="00AE4770"/>
    <w:rsid w:val="00AE5EB7"/>
    <w:rsid w:val="00AE5F71"/>
    <w:rsid w:val="00AF0202"/>
    <w:rsid w:val="00AF06C2"/>
    <w:rsid w:val="00AF1020"/>
    <w:rsid w:val="00AF21B7"/>
    <w:rsid w:val="00AF3132"/>
    <w:rsid w:val="00AF387D"/>
    <w:rsid w:val="00AF3C74"/>
    <w:rsid w:val="00AF753A"/>
    <w:rsid w:val="00B0250C"/>
    <w:rsid w:val="00B03B77"/>
    <w:rsid w:val="00B03B93"/>
    <w:rsid w:val="00B04395"/>
    <w:rsid w:val="00B05F59"/>
    <w:rsid w:val="00B11589"/>
    <w:rsid w:val="00B16C58"/>
    <w:rsid w:val="00B1782B"/>
    <w:rsid w:val="00B30331"/>
    <w:rsid w:val="00B325F4"/>
    <w:rsid w:val="00B32E5C"/>
    <w:rsid w:val="00B34AE4"/>
    <w:rsid w:val="00B34BA1"/>
    <w:rsid w:val="00B41668"/>
    <w:rsid w:val="00B422F3"/>
    <w:rsid w:val="00B43A87"/>
    <w:rsid w:val="00B472E0"/>
    <w:rsid w:val="00B521D0"/>
    <w:rsid w:val="00B60B03"/>
    <w:rsid w:val="00B60BD2"/>
    <w:rsid w:val="00B67D45"/>
    <w:rsid w:val="00B70BA1"/>
    <w:rsid w:val="00B747F4"/>
    <w:rsid w:val="00B76265"/>
    <w:rsid w:val="00B76689"/>
    <w:rsid w:val="00B76BFA"/>
    <w:rsid w:val="00B76C78"/>
    <w:rsid w:val="00B81863"/>
    <w:rsid w:val="00B81FD3"/>
    <w:rsid w:val="00B958BC"/>
    <w:rsid w:val="00BA14BE"/>
    <w:rsid w:val="00BA47BA"/>
    <w:rsid w:val="00BA491D"/>
    <w:rsid w:val="00BA7210"/>
    <w:rsid w:val="00BA781E"/>
    <w:rsid w:val="00BB401C"/>
    <w:rsid w:val="00BB6456"/>
    <w:rsid w:val="00BB6DB0"/>
    <w:rsid w:val="00BB742D"/>
    <w:rsid w:val="00BB7B35"/>
    <w:rsid w:val="00BB7DBD"/>
    <w:rsid w:val="00BC10E3"/>
    <w:rsid w:val="00BC11F6"/>
    <w:rsid w:val="00BC2C7E"/>
    <w:rsid w:val="00BC374D"/>
    <w:rsid w:val="00BC3DB3"/>
    <w:rsid w:val="00BD1B8A"/>
    <w:rsid w:val="00BD30F4"/>
    <w:rsid w:val="00BD3570"/>
    <w:rsid w:val="00BD3C6B"/>
    <w:rsid w:val="00BD3CFC"/>
    <w:rsid w:val="00BD41CC"/>
    <w:rsid w:val="00BE19E4"/>
    <w:rsid w:val="00BE7883"/>
    <w:rsid w:val="00BF06B0"/>
    <w:rsid w:val="00BF117D"/>
    <w:rsid w:val="00BF1562"/>
    <w:rsid w:val="00BF3F1E"/>
    <w:rsid w:val="00BF424A"/>
    <w:rsid w:val="00BF54C9"/>
    <w:rsid w:val="00BF6D2F"/>
    <w:rsid w:val="00C0042E"/>
    <w:rsid w:val="00C00728"/>
    <w:rsid w:val="00C02052"/>
    <w:rsid w:val="00C0284C"/>
    <w:rsid w:val="00C02CE5"/>
    <w:rsid w:val="00C04144"/>
    <w:rsid w:val="00C04288"/>
    <w:rsid w:val="00C0447C"/>
    <w:rsid w:val="00C04E93"/>
    <w:rsid w:val="00C06262"/>
    <w:rsid w:val="00C07CFF"/>
    <w:rsid w:val="00C104FC"/>
    <w:rsid w:val="00C12203"/>
    <w:rsid w:val="00C12285"/>
    <w:rsid w:val="00C13811"/>
    <w:rsid w:val="00C143D8"/>
    <w:rsid w:val="00C170CA"/>
    <w:rsid w:val="00C20AE4"/>
    <w:rsid w:val="00C22A25"/>
    <w:rsid w:val="00C22ADF"/>
    <w:rsid w:val="00C24CEE"/>
    <w:rsid w:val="00C313A4"/>
    <w:rsid w:val="00C33388"/>
    <w:rsid w:val="00C334A8"/>
    <w:rsid w:val="00C33C06"/>
    <w:rsid w:val="00C345E7"/>
    <w:rsid w:val="00C34CA3"/>
    <w:rsid w:val="00C35F60"/>
    <w:rsid w:val="00C3662D"/>
    <w:rsid w:val="00C36C4F"/>
    <w:rsid w:val="00C36CA3"/>
    <w:rsid w:val="00C403F9"/>
    <w:rsid w:val="00C43A57"/>
    <w:rsid w:val="00C441AB"/>
    <w:rsid w:val="00C44F2B"/>
    <w:rsid w:val="00C46547"/>
    <w:rsid w:val="00C465A3"/>
    <w:rsid w:val="00C505BC"/>
    <w:rsid w:val="00C51022"/>
    <w:rsid w:val="00C53C04"/>
    <w:rsid w:val="00C556D1"/>
    <w:rsid w:val="00C55B0A"/>
    <w:rsid w:val="00C564DF"/>
    <w:rsid w:val="00C57781"/>
    <w:rsid w:val="00C6007F"/>
    <w:rsid w:val="00C600D4"/>
    <w:rsid w:val="00C6165A"/>
    <w:rsid w:val="00C64C55"/>
    <w:rsid w:val="00C66547"/>
    <w:rsid w:val="00C66E0F"/>
    <w:rsid w:val="00C7268A"/>
    <w:rsid w:val="00C7730D"/>
    <w:rsid w:val="00C779D6"/>
    <w:rsid w:val="00C77CD0"/>
    <w:rsid w:val="00C807F6"/>
    <w:rsid w:val="00C81D08"/>
    <w:rsid w:val="00C84E11"/>
    <w:rsid w:val="00C90A00"/>
    <w:rsid w:val="00C917C8"/>
    <w:rsid w:val="00C9194E"/>
    <w:rsid w:val="00C93BDC"/>
    <w:rsid w:val="00C94B6D"/>
    <w:rsid w:val="00C94C6E"/>
    <w:rsid w:val="00C95758"/>
    <w:rsid w:val="00C9620C"/>
    <w:rsid w:val="00CA0CF4"/>
    <w:rsid w:val="00CA2C20"/>
    <w:rsid w:val="00CA2CE7"/>
    <w:rsid w:val="00CA35C0"/>
    <w:rsid w:val="00CA5768"/>
    <w:rsid w:val="00CA7F42"/>
    <w:rsid w:val="00CB10A1"/>
    <w:rsid w:val="00CB10A3"/>
    <w:rsid w:val="00CB3504"/>
    <w:rsid w:val="00CB3C64"/>
    <w:rsid w:val="00CB48DB"/>
    <w:rsid w:val="00CB62AA"/>
    <w:rsid w:val="00CB695E"/>
    <w:rsid w:val="00CB749E"/>
    <w:rsid w:val="00CC051E"/>
    <w:rsid w:val="00CC05D9"/>
    <w:rsid w:val="00CC26FD"/>
    <w:rsid w:val="00CC2B18"/>
    <w:rsid w:val="00CC33D6"/>
    <w:rsid w:val="00CC5EE5"/>
    <w:rsid w:val="00CC602B"/>
    <w:rsid w:val="00CC7746"/>
    <w:rsid w:val="00CC7DD8"/>
    <w:rsid w:val="00CD2CF6"/>
    <w:rsid w:val="00CD3E68"/>
    <w:rsid w:val="00CD48D6"/>
    <w:rsid w:val="00CD4D42"/>
    <w:rsid w:val="00CD4EC0"/>
    <w:rsid w:val="00CE1AFA"/>
    <w:rsid w:val="00CE3496"/>
    <w:rsid w:val="00CE3AE1"/>
    <w:rsid w:val="00CE44E0"/>
    <w:rsid w:val="00CE531E"/>
    <w:rsid w:val="00CE53DC"/>
    <w:rsid w:val="00CE5812"/>
    <w:rsid w:val="00CE5CB0"/>
    <w:rsid w:val="00CE6824"/>
    <w:rsid w:val="00CE7C44"/>
    <w:rsid w:val="00CF0717"/>
    <w:rsid w:val="00CF13D8"/>
    <w:rsid w:val="00CF448E"/>
    <w:rsid w:val="00CF59E3"/>
    <w:rsid w:val="00CF5BBF"/>
    <w:rsid w:val="00CF6536"/>
    <w:rsid w:val="00CF7038"/>
    <w:rsid w:val="00D0044E"/>
    <w:rsid w:val="00D01538"/>
    <w:rsid w:val="00D03651"/>
    <w:rsid w:val="00D04C04"/>
    <w:rsid w:val="00D05708"/>
    <w:rsid w:val="00D05DBE"/>
    <w:rsid w:val="00D0719D"/>
    <w:rsid w:val="00D10F1B"/>
    <w:rsid w:val="00D13362"/>
    <w:rsid w:val="00D14708"/>
    <w:rsid w:val="00D14DA4"/>
    <w:rsid w:val="00D15CB6"/>
    <w:rsid w:val="00D218CF"/>
    <w:rsid w:val="00D300DC"/>
    <w:rsid w:val="00D314C5"/>
    <w:rsid w:val="00D31CEC"/>
    <w:rsid w:val="00D377E2"/>
    <w:rsid w:val="00D40A28"/>
    <w:rsid w:val="00D42A3F"/>
    <w:rsid w:val="00D44EF7"/>
    <w:rsid w:val="00D45721"/>
    <w:rsid w:val="00D500D9"/>
    <w:rsid w:val="00D501E3"/>
    <w:rsid w:val="00D51328"/>
    <w:rsid w:val="00D53182"/>
    <w:rsid w:val="00D536E2"/>
    <w:rsid w:val="00D53A89"/>
    <w:rsid w:val="00D560FB"/>
    <w:rsid w:val="00D5689B"/>
    <w:rsid w:val="00D56D0B"/>
    <w:rsid w:val="00D5722C"/>
    <w:rsid w:val="00D602FA"/>
    <w:rsid w:val="00D6299D"/>
    <w:rsid w:val="00D6613E"/>
    <w:rsid w:val="00D66954"/>
    <w:rsid w:val="00D67C4D"/>
    <w:rsid w:val="00D67D4D"/>
    <w:rsid w:val="00D7713A"/>
    <w:rsid w:val="00D818BD"/>
    <w:rsid w:val="00D83AAC"/>
    <w:rsid w:val="00D84D86"/>
    <w:rsid w:val="00D85884"/>
    <w:rsid w:val="00D8606B"/>
    <w:rsid w:val="00D862A9"/>
    <w:rsid w:val="00D90F28"/>
    <w:rsid w:val="00D91373"/>
    <w:rsid w:val="00D92B83"/>
    <w:rsid w:val="00D956AF"/>
    <w:rsid w:val="00D95D46"/>
    <w:rsid w:val="00D969A9"/>
    <w:rsid w:val="00D97D5E"/>
    <w:rsid w:val="00DA07A3"/>
    <w:rsid w:val="00DA6079"/>
    <w:rsid w:val="00DA6F82"/>
    <w:rsid w:val="00DA741D"/>
    <w:rsid w:val="00DA7DF7"/>
    <w:rsid w:val="00DB0041"/>
    <w:rsid w:val="00DB142A"/>
    <w:rsid w:val="00DB52D3"/>
    <w:rsid w:val="00DC0852"/>
    <w:rsid w:val="00DC1D48"/>
    <w:rsid w:val="00DC3C25"/>
    <w:rsid w:val="00DC42AF"/>
    <w:rsid w:val="00DC4A85"/>
    <w:rsid w:val="00DC6463"/>
    <w:rsid w:val="00DC6E26"/>
    <w:rsid w:val="00DC7CA7"/>
    <w:rsid w:val="00DD0B46"/>
    <w:rsid w:val="00DD20E2"/>
    <w:rsid w:val="00DD4621"/>
    <w:rsid w:val="00DE46F2"/>
    <w:rsid w:val="00DE5D9A"/>
    <w:rsid w:val="00DE6297"/>
    <w:rsid w:val="00DE72E1"/>
    <w:rsid w:val="00DE75A1"/>
    <w:rsid w:val="00DE7D34"/>
    <w:rsid w:val="00DF282A"/>
    <w:rsid w:val="00DF3C31"/>
    <w:rsid w:val="00DF3EA8"/>
    <w:rsid w:val="00DF420C"/>
    <w:rsid w:val="00DF4409"/>
    <w:rsid w:val="00DF5CFB"/>
    <w:rsid w:val="00DF5F81"/>
    <w:rsid w:val="00E02821"/>
    <w:rsid w:val="00E100B6"/>
    <w:rsid w:val="00E1053C"/>
    <w:rsid w:val="00E1087D"/>
    <w:rsid w:val="00E12646"/>
    <w:rsid w:val="00E13DA8"/>
    <w:rsid w:val="00E16046"/>
    <w:rsid w:val="00E165FC"/>
    <w:rsid w:val="00E21204"/>
    <w:rsid w:val="00E24286"/>
    <w:rsid w:val="00E24AF1"/>
    <w:rsid w:val="00E27357"/>
    <w:rsid w:val="00E30F2E"/>
    <w:rsid w:val="00E3164D"/>
    <w:rsid w:val="00E31BC0"/>
    <w:rsid w:val="00E32DAC"/>
    <w:rsid w:val="00E37330"/>
    <w:rsid w:val="00E4171C"/>
    <w:rsid w:val="00E42CDB"/>
    <w:rsid w:val="00E42E8E"/>
    <w:rsid w:val="00E445DE"/>
    <w:rsid w:val="00E446AE"/>
    <w:rsid w:val="00E45C70"/>
    <w:rsid w:val="00E463EC"/>
    <w:rsid w:val="00E516AB"/>
    <w:rsid w:val="00E52C98"/>
    <w:rsid w:val="00E546D3"/>
    <w:rsid w:val="00E5474B"/>
    <w:rsid w:val="00E56066"/>
    <w:rsid w:val="00E61336"/>
    <w:rsid w:val="00E61833"/>
    <w:rsid w:val="00E66117"/>
    <w:rsid w:val="00E70584"/>
    <w:rsid w:val="00E708F9"/>
    <w:rsid w:val="00E71E43"/>
    <w:rsid w:val="00E728D2"/>
    <w:rsid w:val="00E72F71"/>
    <w:rsid w:val="00E742D3"/>
    <w:rsid w:val="00E74789"/>
    <w:rsid w:val="00E7606F"/>
    <w:rsid w:val="00E76A7A"/>
    <w:rsid w:val="00E77B37"/>
    <w:rsid w:val="00E77ECB"/>
    <w:rsid w:val="00E83034"/>
    <w:rsid w:val="00E86D0A"/>
    <w:rsid w:val="00E90B01"/>
    <w:rsid w:val="00E90B3A"/>
    <w:rsid w:val="00E9170C"/>
    <w:rsid w:val="00E91F44"/>
    <w:rsid w:val="00E93EE0"/>
    <w:rsid w:val="00E95C63"/>
    <w:rsid w:val="00E96880"/>
    <w:rsid w:val="00EA0BAB"/>
    <w:rsid w:val="00EA2332"/>
    <w:rsid w:val="00EA2FCE"/>
    <w:rsid w:val="00EA5142"/>
    <w:rsid w:val="00EA6DAD"/>
    <w:rsid w:val="00EA7F93"/>
    <w:rsid w:val="00EB0EFE"/>
    <w:rsid w:val="00EB3727"/>
    <w:rsid w:val="00EB411F"/>
    <w:rsid w:val="00EB455C"/>
    <w:rsid w:val="00EB4EE2"/>
    <w:rsid w:val="00EB56A6"/>
    <w:rsid w:val="00EB5B92"/>
    <w:rsid w:val="00EB5FD0"/>
    <w:rsid w:val="00EB6B68"/>
    <w:rsid w:val="00EC05BB"/>
    <w:rsid w:val="00EC2418"/>
    <w:rsid w:val="00EC2628"/>
    <w:rsid w:val="00EC3627"/>
    <w:rsid w:val="00EC44DF"/>
    <w:rsid w:val="00EC52C1"/>
    <w:rsid w:val="00EC53D6"/>
    <w:rsid w:val="00EC6269"/>
    <w:rsid w:val="00EC6561"/>
    <w:rsid w:val="00EC75F8"/>
    <w:rsid w:val="00EC7790"/>
    <w:rsid w:val="00ED2463"/>
    <w:rsid w:val="00ED2F70"/>
    <w:rsid w:val="00ED30B8"/>
    <w:rsid w:val="00ED4C12"/>
    <w:rsid w:val="00ED4DED"/>
    <w:rsid w:val="00ED53B5"/>
    <w:rsid w:val="00ED7ED2"/>
    <w:rsid w:val="00ED7F8A"/>
    <w:rsid w:val="00EE00E7"/>
    <w:rsid w:val="00EE2E8E"/>
    <w:rsid w:val="00EE3DC7"/>
    <w:rsid w:val="00EE5CB3"/>
    <w:rsid w:val="00EE6072"/>
    <w:rsid w:val="00EF05FA"/>
    <w:rsid w:val="00EF18E8"/>
    <w:rsid w:val="00EF6A39"/>
    <w:rsid w:val="00F02D16"/>
    <w:rsid w:val="00F0419D"/>
    <w:rsid w:val="00F05207"/>
    <w:rsid w:val="00F0664D"/>
    <w:rsid w:val="00F07064"/>
    <w:rsid w:val="00F16B46"/>
    <w:rsid w:val="00F17AB0"/>
    <w:rsid w:val="00F17DC9"/>
    <w:rsid w:val="00F202CD"/>
    <w:rsid w:val="00F23713"/>
    <w:rsid w:val="00F23CD6"/>
    <w:rsid w:val="00F24230"/>
    <w:rsid w:val="00F249EC"/>
    <w:rsid w:val="00F25180"/>
    <w:rsid w:val="00F25393"/>
    <w:rsid w:val="00F25D5B"/>
    <w:rsid w:val="00F357AD"/>
    <w:rsid w:val="00F40482"/>
    <w:rsid w:val="00F40A2F"/>
    <w:rsid w:val="00F41AED"/>
    <w:rsid w:val="00F424F5"/>
    <w:rsid w:val="00F42D6D"/>
    <w:rsid w:val="00F4612A"/>
    <w:rsid w:val="00F51348"/>
    <w:rsid w:val="00F5177D"/>
    <w:rsid w:val="00F5496A"/>
    <w:rsid w:val="00F57B13"/>
    <w:rsid w:val="00F602C3"/>
    <w:rsid w:val="00F63F8F"/>
    <w:rsid w:val="00F7073E"/>
    <w:rsid w:val="00F733C8"/>
    <w:rsid w:val="00F75031"/>
    <w:rsid w:val="00F77934"/>
    <w:rsid w:val="00F81BAE"/>
    <w:rsid w:val="00F83C49"/>
    <w:rsid w:val="00F90C41"/>
    <w:rsid w:val="00F91F67"/>
    <w:rsid w:val="00F9245E"/>
    <w:rsid w:val="00F92863"/>
    <w:rsid w:val="00F945C4"/>
    <w:rsid w:val="00F95FB3"/>
    <w:rsid w:val="00FA02B6"/>
    <w:rsid w:val="00FA0630"/>
    <w:rsid w:val="00FA3622"/>
    <w:rsid w:val="00FA4A43"/>
    <w:rsid w:val="00FA5980"/>
    <w:rsid w:val="00FB0AF0"/>
    <w:rsid w:val="00FB1FDE"/>
    <w:rsid w:val="00FB5949"/>
    <w:rsid w:val="00FB5D28"/>
    <w:rsid w:val="00FB6CF5"/>
    <w:rsid w:val="00FB77E3"/>
    <w:rsid w:val="00FC029A"/>
    <w:rsid w:val="00FC1607"/>
    <w:rsid w:val="00FC31CD"/>
    <w:rsid w:val="00FC4505"/>
    <w:rsid w:val="00FC64B3"/>
    <w:rsid w:val="00FC7060"/>
    <w:rsid w:val="00FC7355"/>
    <w:rsid w:val="00FC776D"/>
    <w:rsid w:val="00FD06CD"/>
    <w:rsid w:val="00FD1F35"/>
    <w:rsid w:val="00FD4FEB"/>
    <w:rsid w:val="00FD551C"/>
    <w:rsid w:val="00FD693A"/>
    <w:rsid w:val="00FD73F1"/>
    <w:rsid w:val="00FE0E87"/>
    <w:rsid w:val="00FE14EA"/>
    <w:rsid w:val="00FE24B2"/>
    <w:rsid w:val="00FE29FE"/>
    <w:rsid w:val="00FE5264"/>
    <w:rsid w:val="00FE54F8"/>
    <w:rsid w:val="00FE6320"/>
    <w:rsid w:val="00FE6495"/>
    <w:rsid w:val="00FE6938"/>
    <w:rsid w:val="00FF0B3D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AC28"/>
  <w15:docId w15:val="{D5B8698E-CD33-46E8-8E1F-B84F0F6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9FB"/>
    <w:pPr>
      <w:spacing w:after="12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C517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5419FB"/>
    <w:pPr>
      <w:suppressAutoHyphens/>
      <w:autoSpaceDE w:val="0"/>
      <w:autoSpaceDN w:val="0"/>
      <w:adjustRightInd w:val="0"/>
      <w:spacing w:before="120" w:after="0"/>
      <w:ind w:firstLine="510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419FB"/>
    <w:rPr>
      <w:bCs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419FB"/>
    <w:pPr>
      <w:keepNext/>
      <w:suppressAutoHyphens/>
      <w:spacing w:before="120" w:after="0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Ppogrubienie">
    <w:name w:val="_P_ – pogrubienie"/>
    <w:basedOn w:val="Domylnaczcionkaakapitu"/>
    <w:qFormat/>
    <w:rsid w:val="005419F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799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99F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772D"/>
    <w:rPr>
      <w:color w:val="0000FF" w:themeColor="hyperlink"/>
      <w:u w:val="single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F24230"/>
    <w:pPr>
      <w:keepNext/>
      <w:spacing w:before="120" w:after="0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F24230"/>
    <w:pPr>
      <w:keepNext/>
      <w:suppressAutoHyphens/>
      <w:spacing w:before="120" w:after="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IDindeksdolny">
    <w:name w:val="_ID_ – indeks dolny"/>
    <w:basedOn w:val="Domylnaczcionkaakapitu"/>
    <w:uiPriority w:val="3"/>
    <w:qFormat/>
    <w:rsid w:val="00F24230"/>
    <w:rPr>
      <w:b w:val="0"/>
      <w:i w:val="0"/>
      <w:vanish w:val="0"/>
      <w:spacing w:val="0"/>
      <w:vertAlign w:val="subscript"/>
    </w:rPr>
  </w:style>
  <w:style w:type="paragraph" w:styleId="Akapitzlist">
    <w:name w:val="List Paragraph"/>
    <w:basedOn w:val="Normalny"/>
    <w:uiPriority w:val="34"/>
    <w:qFormat/>
    <w:rsid w:val="00F24230"/>
    <w:pPr>
      <w:widowControl w:val="0"/>
      <w:spacing w:after="0"/>
      <w:ind w:left="720"/>
      <w:contextualSpacing/>
    </w:pPr>
    <w:rPr>
      <w:rFonts w:eastAsia="Calibri" w:cs="Times New Roman"/>
      <w:bCs/>
      <w:sz w:val="22"/>
      <w:lang w:val="en-US"/>
    </w:rPr>
  </w:style>
  <w:style w:type="paragraph" w:customStyle="1" w:styleId="TYTUAKTUprzedmiotregulacjiustawylubrozporzdzenia">
    <w:name w:val="TYTUŁ_AKTU – przedmiot regulacji ustawy lub rozporządzenia"/>
    <w:rsid w:val="00F24230"/>
    <w:pPr>
      <w:keepNext/>
      <w:suppressAutoHyphens/>
      <w:autoSpaceDN w:val="0"/>
      <w:spacing w:before="120" w:after="360"/>
      <w:jc w:val="center"/>
      <w:textAlignment w:val="baseline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51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6C517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5175F2"/>
    <w:pPr>
      <w:keepNext/>
      <w:suppressAutoHyphens/>
      <w:spacing w:before="120" w:after="0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5175F2"/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6A4E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5854D8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5854D8"/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FB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F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0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0FA"/>
    <w:rPr>
      <w:rFonts w:ascii="Times New Roman" w:hAnsi="Times New Roman"/>
      <w:sz w:val="24"/>
    </w:rPr>
  </w:style>
  <w:style w:type="paragraph" w:customStyle="1" w:styleId="ODNONIKtreodnonika">
    <w:name w:val="ODNOŚNIK – treść odnośnika"/>
    <w:rsid w:val="000C772D"/>
    <w:pPr>
      <w:suppressAutoHyphens/>
      <w:autoSpaceDN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C635F"/>
    <w:pPr>
      <w:spacing w:after="0" w:line="240" w:lineRule="auto"/>
      <w:jc w:val="left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707CF9"/>
  </w:style>
  <w:style w:type="character" w:customStyle="1" w:styleId="highlight">
    <w:name w:val="highlight"/>
    <w:basedOn w:val="Domylnaczcionkaakapitu"/>
    <w:rsid w:val="00D572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0F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0F2E"/>
    <w:rPr>
      <w:rFonts w:ascii="Consolas" w:hAnsi="Consolas"/>
      <w:sz w:val="20"/>
      <w:szCs w:val="20"/>
    </w:rPr>
  </w:style>
  <w:style w:type="paragraph" w:customStyle="1" w:styleId="2TIRpodwjnytiret">
    <w:name w:val="2TIR – podwójny tiret"/>
    <w:basedOn w:val="Normalny"/>
    <w:uiPriority w:val="73"/>
    <w:qFormat/>
    <w:rsid w:val="00DF3C31"/>
    <w:pPr>
      <w:spacing w:after="0" w:line="360" w:lineRule="auto"/>
      <w:ind w:left="1780" w:hanging="397"/>
    </w:pPr>
    <w:rPr>
      <w:rFonts w:ascii="Times" w:eastAsiaTheme="minorEastAsia" w:hAnsi="Times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21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6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5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5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2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5F57-05FC-4CF2-9FB2-067F9C8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1813</Words>
  <Characters>10880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mstokowski</dc:creator>
  <cp:lastModifiedBy>STOKOWSKI Michał</cp:lastModifiedBy>
  <cp:revision>2</cp:revision>
  <cp:lastPrinted>2025-06-12T05:31:00Z</cp:lastPrinted>
  <dcterms:created xsi:type="dcterms:W3CDTF">2025-06-25T06:08:00Z</dcterms:created>
  <dcterms:modified xsi:type="dcterms:W3CDTF">2025-06-25T06:08:00Z</dcterms:modified>
</cp:coreProperties>
</file>