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F6" w:rsidRPr="00623B9E" w:rsidRDefault="00996BF6" w:rsidP="007A3BD6">
      <w:pPr>
        <w:widowControl/>
        <w:spacing w:after="120" w:line="264" w:lineRule="auto"/>
        <w:jc w:val="center"/>
        <w:outlineLvl w:val="0"/>
        <w:rPr>
          <w:rFonts w:eastAsia="Times New Roman" w:cs="Times New Roman"/>
          <w:b/>
          <w:sz w:val="24"/>
          <w:szCs w:val="24"/>
          <w:lang w:val="pl-PL" w:eastAsia="pl-PL"/>
        </w:rPr>
      </w:pPr>
      <w:bookmarkStart w:id="0" w:name="_GoBack"/>
      <w:bookmarkEnd w:id="0"/>
      <w:r w:rsidRPr="00623B9E">
        <w:rPr>
          <w:rFonts w:eastAsia="Times New Roman" w:cs="Times New Roman"/>
          <w:b/>
          <w:sz w:val="24"/>
          <w:szCs w:val="24"/>
          <w:lang w:val="pl-PL" w:eastAsia="pl-PL"/>
        </w:rPr>
        <w:t>Uzasadnienie</w:t>
      </w:r>
    </w:p>
    <w:p w:rsidR="00996BF6" w:rsidRPr="002D2915" w:rsidRDefault="00996BF6" w:rsidP="00360284">
      <w:pPr>
        <w:widowControl/>
        <w:spacing w:after="120" w:line="264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</w:p>
    <w:p w:rsidR="00996BF6" w:rsidRPr="002D2915" w:rsidRDefault="0051513F" w:rsidP="008C59F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after="120" w:line="264" w:lineRule="auto"/>
        <w:ind w:left="567" w:hanging="567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W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>yjaśnieni</w:t>
      </w: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e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potrzeby i celu </w:t>
      </w:r>
      <w:r w:rsidR="001761D7" w:rsidRPr="002D2915">
        <w:rPr>
          <w:rFonts w:eastAsia="Times New Roman" w:cs="Times New Roman"/>
          <w:b/>
          <w:sz w:val="24"/>
          <w:szCs w:val="24"/>
          <w:lang w:val="pl-PL" w:eastAsia="pl-PL"/>
        </w:rPr>
        <w:t>nowelizowania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</w:t>
      </w: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rozporządzenia</w:t>
      </w:r>
    </w:p>
    <w:p w:rsidR="00FB530A" w:rsidRPr="002D2915" w:rsidRDefault="00097AB3" w:rsidP="00FB530A">
      <w:pPr>
        <w:widowControl/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bCs/>
          <w:sz w:val="24"/>
          <w:szCs w:val="24"/>
          <w:lang w:val="pl-PL"/>
        </w:rPr>
        <w:t xml:space="preserve">Wydane na podstawie art. 59 a ust. </w:t>
      </w:r>
      <w:r w:rsidR="001368C7" w:rsidRPr="002D2915">
        <w:rPr>
          <w:rFonts w:cs="Times New Roman"/>
          <w:bCs/>
          <w:sz w:val="24"/>
          <w:szCs w:val="24"/>
          <w:lang w:val="pl-PL"/>
        </w:rPr>
        <w:t>7</w:t>
      </w:r>
      <w:r w:rsidRPr="002D2915">
        <w:rPr>
          <w:rFonts w:cs="Times New Roman"/>
          <w:bCs/>
          <w:sz w:val="24"/>
          <w:szCs w:val="24"/>
          <w:lang w:val="pl-PL"/>
        </w:rPr>
        <w:t xml:space="preserve"> ustawy </w:t>
      </w:r>
      <w:r w:rsidR="00623B9E" w:rsidRPr="00623B9E">
        <w:rPr>
          <w:rFonts w:cs="Times New Roman"/>
          <w:bCs/>
          <w:sz w:val="24"/>
          <w:szCs w:val="24"/>
          <w:lang w:val="pl-PL"/>
        </w:rPr>
        <w:t xml:space="preserve">z dnia 3 lipca 2002 r. – </w:t>
      </w:r>
      <w:r w:rsidRPr="002D2915">
        <w:rPr>
          <w:rFonts w:cs="Times New Roman"/>
          <w:bCs/>
          <w:sz w:val="24"/>
          <w:szCs w:val="24"/>
          <w:lang w:val="pl-PL"/>
        </w:rPr>
        <w:t>Prawo lotnicze</w:t>
      </w:r>
      <w:r w:rsidR="00623B9E">
        <w:rPr>
          <w:rFonts w:cs="Times New Roman"/>
          <w:bCs/>
          <w:sz w:val="24"/>
          <w:szCs w:val="24"/>
          <w:lang w:val="pl-PL"/>
        </w:rPr>
        <w:t xml:space="preserve"> </w:t>
      </w:r>
      <w:r w:rsidR="00623B9E" w:rsidRPr="00623B9E">
        <w:rPr>
          <w:rFonts w:cs="Times New Roman"/>
          <w:bCs/>
          <w:sz w:val="24"/>
          <w:szCs w:val="24"/>
          <w:lang w:val="pl-PL"/>
        </w:rPr>
        <w:t>(Dz. U. z 2016 r. poz. 605 i 904)</w:t>
      </w:r>
      <w:r w:rsidRPr="002D2915">
        <w:rPr>
          <w:rFonts w:cs="Times New Roman"/>
          <w:bCs/>
          <w:sz w:val="24"/>
          <w:szCs w:val="24"/>
          <w:lang w:val="pl-PL"/>
        </w:rPr>
        <w:t xml:space="preserve"> </w:t>
      </w:r>
      <w:r w:rsidR="001956B9" w:rsidRPr="002D2915">
        <w:rPr>
          <w:rFonts w:cs="Times New Roman"/>
          <w:i/>
          <w:sz w:val="24"/>
          <w:szCs w:val="24"/>
          <w:lang w:val="pl-PL"/>
        </w:rPr>
        <w:t>r</w:t>
      </w:r>
      <w:r w:rsidR="001368C7" w:rsidRPr="002D2915">
        <w:rPr>
          <w:rFonts w:cs="Times New Roman"/>
          <w:i/>
          <w:sz w:val="24"/>
          <w:szCs w:val="24"/>
          <w:lang w:val="pl-PL"/>
        </w:rPr>
        <w:t>ozporządzenie Ministra Transportu, Budownictwa i Gospodarki Morskiej z dnia 21 czerwca 2013 r. w</w:t>
      </w:r>
      <w:r w:rsidR="006D1719" w:rsidRPr="002D2915">
        <w:rPr>
          <w:rFonts w:cs="Times New Roman"/>
          <w:i/>
          <w:sz w:val="24"/>
          <w:szCs w:val="24"/>
          <w:lang w:val="pl-PL"/>
        </w:rPr>
        <w:t xml:space="preserve"> sprawie wymagań technicznych i </w:t>
      </w:r>
      <w:r w:rsidR="001368C7" w:rsidRPr="002D2915">
        <w:rPr>
          <w:rFonts w:cs="Times New Roman"/>
          <w:i/>
          <w:sz w:val="24"/>
          <w:szCs w:val="24"/>
          <w:lang w:val="pl-PL"/>
        </w:rPr>
        <w:t>eksploatacyjnych w stosunku do lotnisk użytku wyłącznego oraz sposobu i trybu przeprowadzania kontroli sprawdzającej</w:t>
      </w:r>
      <w:r w:rsidR="001956B9" w:rsidRPr="002D2915">
        <w:rPr>
          <w:rFonts w:cs="Times New Roman"/>
          <w:i/>
          <w:sz w:val="24"/>
          <w:szCs w:val="24"/>
          <w:lang w:val="pl-PL"/>
        </w:rPr>
        <w:t xml:space="preserve"> </w:t>
      </w:r>
      <w:r w:rsidR="001368C7" w:rsidRPr="002D2915">
        <w:rPr>
          <w:rFonts w:cs="Times New Roman"/>
          <w:sz w:val="24"/>
          <w:szCs w:val="24"/>
          <w:lang w:val="pl-PL"/>
        </w:rPr>
        <w:t>(Dz.</w:t>
      </w:r>
      <w:r w:rsidR="0081059D" w:rsidRPr="002D2915">
        <w:rPr>
          <w:rFonts w:cs="Times New Roman"/>
          <w:sz w:val="24"/>
          <w:szCs w:val="24"/>
          <w:lang w:val="pl-PL"/>
        </w:rPr>
        <w:t xml:space="preserve"> </w:t>
      </w:r>
      <w:r w:rsidR="001368C7" w:rsidRPr="002D2915">
        <w:rPr>
          <w:rFonts w:cs="Times New Roman"/>
          <w:sz w:val="24"/>
          <w:szCs w:val="24"/>
          <w:lang w:val="pl-PL"/>
        </w:rPr>
        <w:t>U. poz. 741)</w:t>
      </w:r>
      <w:r w:rsidR="002D5514" w:rsidRPr="002D2915">
        <w:rPr>
          <w:rFonts w:cs="Times New Roman"/>
          <w:sz w:val="24"/>
          <w:szCs w:val="24"/>
          <w:lang w:val="pl-PL"/>
        </w:rPr>
        <w:t>,</w:t>
      </w:r>
      <w:r w:rsidR="00416D71" w:rsidRPr="002D2915">
        <w:rPr>
          <w:rFonts w:cs="Times New Roman"/>
          <w:i/>
          <w:sz w:val="24"/>
          <w:szCs w:val="24"/>
          <w:lang w:val="pl-PL"/>
        </w:rPr>
        <w:t xml:space="preserve"> </w:t>
      </w:r>
      <w:r w:rsidRPr="002D2915">
        <w:rPr>
          <w:rFonts w:cs="Times New Roman"/>
          <w:sz w:val="24"/>
          <w:szCs w:val="24"/>
          <w:lang w:val="pl-PL"/>
        </w:rPr>
        <w:t xml:space="preserve">powinno zostać </w:t>
      </w:r>
      <w:r w:rsidR="009C2FB6" w:rsidRPr="002D2915">
        <w:rPr>
          <w:rFonts w:cs="Times New Roman"/>
          <w:sz w:val="24"/>
          <w:szCs w:val="24"/>
          <w:lang w:val="pl-PL"/>
        </w:rPr>
        <w:t xml:space="preserve">w całości </w:t>
      </w:r>
      <w:r w:rsidR="001956B9" w:rsidRPr="002D2915">
        <w:rPr>
          <w:rFonts w:cs="Times New Roman"/>
          <w:sz w:val="24"/>
          <w:szCs w:val="24"/>
          <w:lang w:val="pl-PL"/>
        </w:rPr>
        <w:t xml:space="preserve">zmienione </w:t>
      </w:r>
      <w:r w:rsidR="00FB530A" w:rsidRPr="002D2915">
        <w:rPr>
          <w:rFonts w:cs="Times New Roman"/>
          <w:sz w:val="24"/>
          <w:szCs w:val="24"/>
          <w:lang w:val="pl-PL"/>
        </w:rPr>
        <w:t xml:space="preserve">w związku z koniecznością wdrożenia </w:t>
      </w:r>
      <w:r w:rsidR="00FB530A" w:rsidRPr="002D2915">
        <w:rPr>
          <w:rFonts w:cs="Times New Roman"/>
          <w:spacing w:val="-2"/>
          <w:sz w:val="24"/>
          <w:szCs w:val="24"/>
          <w:lang w:val="pl-PL"/>
        </w:rPr>
        <w:t xml:space="preserve">nowych norm i zalecanych metod postępowania wprowadzonych ostatnio przez Radę </w:t>
      </w:r>
      <w:r w:rsidR="00623B9E" w:rsidRPr="00623B9E">
        <w:rPr>
          <w:rFonts w:cs="Times New Roman"/>
          <w:spacing w:val="-2"/>
          <w:sz w:val="24"/>
          <w:szCs w:val="24"/>
          <w:lang w:val="pl-PL"/>
        </w:rPr>
        <w:t>Organizacji Międzynarodowego Lotnictwa Cywilnego (</w:t>
      </w:r>
      <w:r w:rsidR="00FB530A" w:rsidRPr="002D2915">
        <w:rPr>
          <w:rFonts w:cs="Times New Roman"/>
          <w:spacing w:val="-2"/>
          <w:sz w:val="24"/>
          <w:szCs w:val="24"/>
          <w:lang w:val="pl-PL"/>
        </w:rPr>
        <w:t>ICAO</w:t>
      </w:r>
      <w:r w:rsidR="00623B9E">
        <w:rPr>
          <w:rFonts w:cs="Times New Roman"/>
          <w:spacing w:val="-2"/>
          <w:sz w:val="24"/>
          <w:szCs w:val="24"/>
          <w:lang w:val="pl-PL"/>
        </w:rPr>
        <w:t>)</w:t>
      </w:r>
      <w:r w:rsidR="00FB530A" w:rsidRPr="002D2915">
        <w:rPr>
          <w:rFonts w:cs="Times New Roman"/>
          <w:spacing w:val="-2"/>
          <w:sz w:val="24"/>
          <w:szCs w:val="24"/>
          <w:lang w:val="pl-PL"/>
        </w:rPr>
        <w:t xml:space="preserve"> do Załącznika 14 „Lotniska” (Tom I </w:t>
      </w:r>
      <w:proofErr w:type="spellStart"/>
      <w:r w:rsidR="00FB530A" w:rsidRPr="002D2915">
        <w:rPr>
          <w:rFonts w:cs="Times New Roman"/>
          <w:spacing w:val="-2"/>
          <w:sz w:val="24"/>
          <w:szCs w:val="24"/>
          <w:lang w:val="pl-PL"/>
        </w:rPr>
        <w:t>i</w:t>
      </w:r>
      <w:proofErr w:type="spellEnd"/>
      <w:r w:rsidR="00FB530A" w:rsidRPr="002D2915">
        <w:rPr>
          <w:rFonts w:cs="Times New Roman"/>
          <w:spacing w:val="-2"/>
          <w:sz w:val="24"/>
          <w:szCs w:val="24"/>
          <w:lang w:val="pl-PL"/>
        </w:rPr>
        <w:t xml:space="preserve"> II) do Konwencji o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FB530A" w:rsidRPr="002D2915">
        <w:rPr>
          <w:rFonts w:cs="Times New Roman"/>
          <w:spacing w:val="-2"/>
          <w:sz w:val="24"/>
          <w:szCs w:val="24"/>
          <w:lang w:val="pl-PL"/>
        </w:rPr>
        <w:t>międzynarodowym lotnictwie cywilnym, sporządzonej w Chicago dnia 7 grudnia 1944 r.</w:t>
      </w:r>
      <w:r w:rsidR="00623B9E">
        <w:rPr>
          <w:rFonts w:cs="Times New Roman"/>
          <w:spacing w:val="-2"/>
          <w:sz w:val="24"/>
          <w:szCs w:val="24"/>
          <w:lang w:val="pl-PL"/>
        </w:rPr>
        <w:t>,</w:t>
      </w:r>
      <w:r w:rsidR="00FB530A"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623B9E" w:rsidRPr="00623B9E">
        <w:rPr>
          <w:rFonts w:cs="Times New Roman"/>
          <w:spacing w:val="-2"/>
          <w:sz w:val="24"/>
          <w:szCs w:val="24"/>
          <w:lang w:val="pl-PL"/>
        </w:rPr>
        <w:t>zwanego dalej „Załącznikiem 14”.</w:t>
      </w:r>
    </w:p>
    <w:p w:rsidR="004C5CAE" w:rsidRPr="002D2915" w:rsidRDefault="00FB7B26" w:rsidP="00416D71">
      <w:pPr>
        <w:widowControl/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Lotniska </w:t>
      </w:r>
      <w:r w:rsidR="002D5514" w:rsidRPr="002D2915">
        <w:rPr>
          <w:rFonts w:cs="Times New Roman"/>
          <w:spacing w:val="-2"/>
          <w:sz w:val="24"/>
          <w:szCs w:val="24"/>
          <w:lang w:val="pl-PL"/>
        </w:rPr>
        <w:t>użytku wyłącznego,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co do zasady</w:t>
      </w:r>
      <w:r w:rsidR="002D5514" w:rsidRPr="002D2915">
        <w:rPr>
          <w:rFonts w:cs="Times New Roman"/>
          <w:spacing w:val="-2"/>
          <w:sz w:val="24"/>
          <w:szCs w:val="24"/>
          <w:lang w:val="pl-PL"/>
        </w:rPr>
        <w:t>,</w:t>
      </w:r>
      <w:r w:rsidR="00FB530A" w:rsidRPr="002D2915">
        <w:rPr>
          <w:rFonts w:cs="Times New Roman"/>
          <w:spacing w:val="-2"/>
          <w:sz w:val="24"/>
          <w:szCs w:val="24"/>
          <w:lang w:val="pl-PL"/>
        </w:rPr>
        <w:t xml:space="preserve"> nie podlegają wymaganiom </w:t>
      </w:r>
      <w:r w:rsidR="00623B9E">
        <w:rPr>
          <w:rFonts w:cs="Times New Roman"/>
          <w:spacing w:val="-2"/>
          <w:sz w:val="24"/>
          <w:szCs w:val="24"/>
          <w:lang w:val="pl-PL"/>
        </w:rPr>
        <w:t xml:space="preserve">określonym przez </w:t>
      </w:r>
      <w:r w:rsidR="00FB530A" w:rsidRPr="002D2915">
        <w:rPr>
          <w:rFonts w:cs="Times New Roman"/>
          <w:spacing w:val="-2"/>
          <w:sz w:val="24"/>
          <w:szCs w:val="24"/>
          <w:lang w:val="pl-PL"/>
        </w:rPr>
        <w:t xml:space="preserve">ICAO. </w:t>
      </w:r>
      <w:r w:rsidR="004C5CAE" w:rsidRPr="002D2915">
        <w:rPr>
          <w:rFonts w:cs="Times New Roman"/>
          <w:spacing w:val="-2"/>
          <w:sz w:val="24"/>
          <w:szCs w:val="24"/>
          <w:lang w:val="pl-PL"/>
        </w:rPr>
        <w:t xml:space="preserve">Niemniej jednak wymagania dla tych lotnisk określone w niniejszym rozporządzeniu </w:t>
      </w:r>
      <w:r w:rsidRPr="002D2915">
        <w:rPr>
          <w:rFonts w:cs="Times New Roman"/>
          <w:spacing w:val="-2"/>
          <w:sz w:val="24"/>
          <w:szCs w:val="24"/>
          <w:lang w:val="pl-PL"/>
        </w:rPr>
        <w:t>został</w:t>
      </w:r>
      <w:r w:rsidR="004C5CAE" w:rsidRPr="002D2915">
        <w:rPr>
          <w:rFonts w:cs="Times New Roman"/>
          <w:spacing w:val="-2"/>
          <w:sz w:val="24"/>
          <w:szCs w:val="24"/>
          <w:lang w:val="pl-PL"/>
        </w:rPr>
        <w:t>y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oparte na wieloletnich doświadczeniach międzynarodowych w zakresie projektowania i eksploatacji lotnisk</w:t>
      </w:r>
      <w:r w:rsidR="00C40280" w:rsidRPr="002D2915">
        <w:rPr>
          <w:rFonts w:cs="Times New Roman"/>
          <w:spacing w:val="-2"/>
          <w:sz w:val="24"/>
          <w:szCs w:val="24"/>
          <w:lang w:val="pl-PL"/>
        </w:rPr>
        <w:t>,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>zawartych w </w:t>
      </w:r>
      <w:r w:rsidR="004C5CAE" w:rsidRPr="002D2915">
        <w:rPr>
          <w:rFonts w:cs="Times New Roman"/>
          <w:spacing w:val="-2"/>
          <w:sz w:val="24"/>
          <w:szCs w:val="24"/>
          <w:lang w:val="pl-PL"/>
        </w:rPr>
        <w:t>Załączniku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14. </w:t>
      </w:r>
    </w:p>
    <w:p w:rsidR="0038649C" w:rsidRPr="002D2915" w:rsidRDefault="0038649C" w:rsidP="0038649C">
      <w:pPr>
        <w:widowControl/>
        <w:tabs>
          <w:tab w:val="left" w:pos="4575"/>
        </w:tabs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Ze względu na otrzymywane uwagi od zarządzających lotniskami </w:t>
      </w:r>
      <w:r w:rsidR="00CC08A8" w:rsidRPr="002D2915">
        <w:rPr>
          <w:rFonts w:cs="Times New Roman"/>
          <w:spacing w:val="-2"/>
          <w:sz w:val="24"/>
          <w:szCs w:val="24"/>
          <w:lang w:val="pl-PL"/>
        </w:rPr>
        <w:t>użytku wyłącznego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 xml:space="preserve"> (bez </w:t>
      </w:r>
      <w:r w:rsidRPr="002D2915">
        <w:rPr>
          <w:rFonts w:cs="Times New Roman"/>
          <w:spacing w:val="-2"/>
          <w:sz w:val="24"/>
          <w:szCs w:val="24"/>
          <w:lang w:val="pl-PL"/>
        </w:rPr>
        <w:t>nawierzchni sztucznej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>)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oraz od </w:t>
      </w:r>
      <w:r w:rsidR="00CC08A8" w:rsidRPr="002D2915">
        <w:rPr>
          <w:rFonts w:cs="Times New Roman"/>
          <w:spacing w:val="-2"/>
          <w:sz w:val="24"/>
          <w:szCs w:val="24"/>
          <w:lang w:val="pl-PL"/>
        </w:rPr>
        <w:t>u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żytkowników </w:t>
      </w:r>
      <w:r w:rsidR="00CC08A8" w:rsidRPr="002D2915">
        <w:rPr>
          <w:rFonts w:cs="Times New Roman"/>
          <w:spacing w:val="-2"/>
          <w:sz w:val="24"/>
          <w:szCs w:val="24"/>
          <w:lang w:val="pl-PL"/>
        </w:rPr>
        <w:t xml:space="preserve">tych lotnisk, 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w </w:t>
      </w:r>
      <w:r w:rsidR="004D4C62" w:rsidRPr="002D2915">
        <w:rPr>
          <w:rFonts w:cs="Times New Roman"/>
          <w:spacing w:val="-2"/>
          <w:sz w:val="24"/>
          <w:szCs w:val="24"/>
          <w:lang w:val="pl-PL"/>
        </w:rPr>
        <w:t>proponowanych prze</w:t>
      </w:r>
      <w:r w:rsidRPr="002D2915">
        <w:rPr>
          <w:rFonts w:cs="Times New Roman"/>
          <w:spacing w:val="-2"/>
          <w:sz w:val="24"/>
          <w:szCs w:val="24"/>
          <w:lang w:val="pl-PL"/>
        </w:rPr>
        <w:t>pisach rozporządzenia uszczegółowiono lub dodano elementy infrastruktury występujące na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 xml:space="preserve"> tych lotniskach, szczególnie w 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zakresie dróg kołowania i wskaźników kierunku wiatru.  </w:t>
      </w:r>
    </w:p>
    <w:p w:rsidR="00BB13C4" w:rsidRPr="002D2915" w:rsidRDefault="00BB13C4" w:rsidP="00BB13C4">
      <w:pPr>
        <w:widowControl/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Niniejsze rozporządzenie, podobnie jak rozporządzenie </w:t>
      </w:r>
      <w:r w:rsidR="00623B9E">
        <w:rPr>
          <w:rFonts w:cs="Times New Roman"/>
          <w:spacing w:val="-2"/>
          <w:sz w:val="24"/>
          <w:szCs w:val="24"/>
          <w:lang w:val="pl-PL"/>
        </w:rPr>
        <w:t>wydawane na podstawie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art. 59a ust</w:t>
      </w:r>
      <w:r w:rsidR="00623B9E">
        <w:rPr>
          <w:rFonts w:cs="Times New Roman"/>
          <w:spacing w:val="-2"/>
          <w:sz w:val="24"/>
          <w:szCs w:val="24"/>
          <w:lang w:val="pl-PL"/>
        </w:rPr>
        <w:t>.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5</w:t>
      </w:r>
      <w:r w:rsidR="00623B9E">
        <w:rPr>
          <w:rFonts w:cs="Times New Roman"/>
          <w:spacing w:val="-2"/>
          <w:sz w:val="24"/>
          <w:szCs w:val="24"/>
          <w:lang w:val="pl-PL"/>
        </w:rPr>
        <w:t xml:space="preserve"> ustawy – Prawo lotnicze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C40280" w:rsidRPr="002D2915">
        <w:rPr>
          <w:rFonts w:cs="Times New Roman"/>
          <w:spacing w:val="-2"/>
          <w:sz w:val="24"/>
          <w:szCs w:val="24"/>
          <w:lang w:val="pl-PL"/>
        </w:rPr>
        <w:t>dotyczące lotnisk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podlegających obowiązkowi certyfikacji oraz </w:t>
      </w:r>
      <w:r w:rsidR="00623B9E" w:rsidRPr="00623B9E">
        <w:rPr>
          <w:rFonts w:cs="Times New Roman"/>
          <w:spacing w:val="-2"/>
          <w:sz w:val="24"/>
          <w:szCs w:val="24"/>
          <w:lang w:val="pl-PL"/>
        </w:rPr>
        <w:t xml:space="preserve">rozporządzenie wydawane na podstawie </w:t>
      </w:r>
      <w:r w:rsidRPr="002D2915">
        <w:rPr>
          <w:rFonts w:cs="Times New Roman"/>
          <w:spacing w:val="-2"/>
          <w:sz w:val="24"/>
          <w:szCs w:val="24"/>
          <w:lang w:val="pl-PL"/>
        </w:rPr>
        <w:t>art. 59a ust</w:t>
      </w:r>
      <w:r w:rsidR="00623B9E">
        <w:rPr>
          <w:rFonts w:cs="Times New Roman"/>
          <w:spacing w:val="-2"/>
          <w:sz w:val="24"/>
          <w:szCs w:val="24"/>
          <w:lang w:val="pl-PL"/>
        </w:rPr>
        <w:t>.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6 </w:t>
      </w:r>
      <w:r w:rsidR="00623B9E">
        <w:rPr>
          <w:rFonts w:cs="Times New Roman"/>
          <w:spacing w:val="-2"/>
          <w:sz w:val="24"/>
          <w:szCs w:val="24"/>
          <w:lang w:val="pl-PL"/>
        </w:rPr>
        <w:t xml:space="preserve">ustawy – Prawo lotnicze </w:t>
      </w:r>
      <w:r w:rsidR="00C40280" w:rsidRPr="002D2915">
        <w:rPr>
          <w:rFonts w:cs="Times New Roman"/>
          <w:spacing w:val="-2"/>
          <w:sz w:val="24"/>
          <w:szCs w:val="24"/>
          <w:lang w:val="pl-PL"/>
        </w:rPr>
        <w:t xml:space="preserve">dotyczące lotnisk </w:t>
      </w:r>
      <w:r w:rsidRPr="002D2915">
        <w:rPr>
          <w:rFonts w:cs="Times New Roman"/>
          <w:spacing w:val="-2"/>
          <w:sz w:val="24"/>
          <w:szCs w:val="24"/>
          <w:lang w:val="pl-PL"/>
        </w:rPr>
        <w:t>o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2D2915">
        <w:rPr>
          <w:rFonts w:cs="Times New Roman"/>
          <w:spacing w:val="-2"/>
          <w:sz w:val="24"/>
          <w:szCs w:val="24"/>
          <w:lang w:val="pl-PL"/>
        </w:rPr>
        <w:t>ograniczonej certyfikacji, odnoszą się obecnie do tego samego wydania Załącznik</w:t>
      </w:r>
      <w:r w:rsidR="00C40280" w:rsidRPr="002D2915">
        <w:rPr>
          <w:rFonts w:cs="Times New Roman"/>
          <w:spacing w:val="-2"/>
          <w:sz w:val="24"/>
          <w:szCs w:val="24"/>
          <w:lang w:val="pl-PL"/>
        </w:rPr>
        <w:t>a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14 </w:t>
      </w:r>
      <w:r w:rsidR="00623B9E">
        <w:rPr>
          <w:rFonts w:cs="Times New Roman"/>
          <w:spacing w:val="-2"/>
          <w:sz w:val="24"/>
          <w:szCs w:val="24"/>
          <w:lang w:val="pl-PL"/>
        </w:rPr>
        <w:t>T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om I </w:t>
      </w:r>
      <w:proofErr w:type="spellStart"/>
      <w:r w:rsidRPr="002D2915">
        <w:rPr>
          <w:rFonts w:cs="Times New Roman"/>
          <w:spacing w:val="-2"/>
          <w:sz w:val="24"/>
          <w:szCs w:val="24"/>
          <w:lang w:val="pl-PL"/>
        </w:rPr>
        <w:t>i</w:t>
      </w:r>
      <w:proofErr w:type="spellEnd"/>
      <w:r w:rsidRPr="002D2915">
        <w:rPr>
          <w:rFonts w:cs="Times New Roman"/>
          <w:spacing w:val="-2"/>
          <w:sz w:val="24"/>
          <w:szCs w:val="24"/>
          <w:lang w:val="pl-PL"/>
        </w:rPr>
        <w:t xml:space="preserve"> II, ogłoszonego w Dzienniku Urzędowym Urzędu Lotnictwa Cywilnego. Z tego powodu </w:t>
      </w:r>
      <w:r w:rsidR="004D4C62" w:rsidRPr="002D2915">
        <w:rPr>
          <w:rFonts w:cs="Times New Roman"/>
          <w:spacing w:val="-2"/>
          <w:sz w:val="24"/>
          <w:szCs w:val="24"/>
          <w:lang w:val="pl-PL"/>
        </w:rPr>
        <w:t>te trzy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rozporządze</w:t>
      </w:r>
      <w:r w:rsidR="004D4C62" w:rsidRPr="002D2915">
        <w:rPr>
          <w:rFonts w:cs="Times New Roman"/>
          <w:spacing w:val="-2"/>
          <w:sz w:val="24"/>
          <w:szCs w:val="24"/>
          <w:lang w:val="pl-PL"/>
        </w:rPr>
        <w:t>nia są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procedowane równolegle i </w:t>
      </w:r>
      <w:r w:rsidR="004D4C62" w:rsidRPr="002D2915">
        <w:rPr>
          <w:rFonts w:cs="Times New Roman"/>
          <w:spacing w:val="-2"/>
          <w:sz w:val="24"/>
          <w:szCs w:val="24"/>
          <w:lang w:val="pl-PL"/>
        </w:rPr>
        <w:t xml:space="preserve">powinny </w:t>
      </w:r>
      <w:r w:rsidRPr="002D2915">
        <w:rPr>
          <w:rFonts w:cs="Times New Roman"/>
          <w:spacing w:val="-2"/>
          <w:sz w:val="24"/>
          <w:szCs w:val="24"/>
          <w:lang w:val="pl-PL"/>
        </w:rPr>
        <w:t>wejść w życie w tym samym terminie. Aktualne we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 xml:space="preserve">rsje Załącznika 14 ICAO </w:t>
      </w:r>
      <w:r w:rsidR="00623B9E">
        <w:rPr>
          <w:rFonts w:cs="Times New Roman"/>
          <w:spacing w:val="-2"/>
          <w:sz w:val="24"/>
          <w:szCs w:val="24"/>
          <w:lang w:val="pl-PL"/>
        </w:rPr>
        <w:t>T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 xml:space="preserve">om I </w:t>
      </w:r>
      <w:proofErr w:type="spellStart"/>
      <w:r w:rsidR="006D1719" w:rsidRPr="002D2915">
        <w:rPr>
          <w:rFonts w:cs="Times New Roman"/>
          <w:spacing w:val="-2"/>
          <w:sz w:val="24"/>
          <w:szCs w:val="24"/>
          <w:lang w:val="pl-PL"/>
        </w:rPr>
        <w:t>i</w:t>
      </w:r>
      <w:proofErr w:type="spellEnd"/>
      <w:r w:rsidR="006D1719" w:rsidRPr="002D2915">
        <w:rPr>
          <w:rFonts w:cs="Times New Roman"/>
          <w:spacing w:val="-2"/>
          <w:sz w:val="24"/>
          <w:szCs w:val="24"/>
          <w:lang w:val="pl-PL"/>
        </w:rPr>
        <w:t> </w:t>
      </w:r>
      <w:r w:rsidRPr="002D2915">
        <w:rPr>
          <w:rFonts w:cs="Times New Roman"/>
          <w:spacing w:val="-2"/>
          <w:sz w:val="24"/>
          <w:szCs w:val="24"/>
          <w:lang w:val="pl-PL"/>
        </w:rPr>
        <w:t>II zostaną opublikowane w Dzienniku Urzędowym Urzędu Lotnictwa Cywilnego przed wejściem w życie tych rozporządzeń.</w:t>
      </w:r>
    </w:p>
    <w:p w:rsidR="009F5A8A" w:rsidRPr="002D2915" w:rsidRDefault="009F5A8A" w:rsidP="002D5514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360" w:after="120" w:line="264" w:lineRule="auto"/>
        <w:ind w:left="567" w:hanging="567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Przedstawienie rzeczywistego (faktycznego) stanu w dziedzinie, która ma zostać </w:t>
      </w:r>
      <w:r w:rsidR="00B60995" w:rsidRPr="002D2915">
        <w:rPr>
          <w:rFonts w:eastAsia="Times New Roman" w:cs="Times New Roman"/>
          <w:b/>
          <w:sz w:val="24"/>
          <w:szCs w:val="24"/>
          <w:lang w:val="pl-PL" w:eastAsia="pl-PL"/>
        </w:rPr>
        <w:t>uregulowana</w:t>
      </w:r>
    </w:p>
    <w:p w:rsidR="00C55A2F" w:rsidRPr="002D2915" w:rsidRDefault="00C55A2F" w:rsidP="00C55A2F">
      <w:pPr>
        <w:widowControl/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i/>
          <w:sz w:val="24"/>
          <w:szCs w:val="24"/>
          <w:lang w:val="pl-PL"/>
        </w:rPr>
        <w:t xml:space="preserve">Rozporządzenie Ministra Transportu, Budownictwa i Gospodarki Morskiej z dnia 21 czerwca 2013 r. w sprawie wymagań technicznych i eksploatacyjnych w stosunku do lotnisk użytku wyłącznego oraz sposobu i trybu przeprowadzania kontroli sprawdzającej </w:t>
      </w:r>
      <w:r w:rsidRPr="002D2915">
        <w:rPr>
          <w:rFonts w:cs="Times New Roman"/>
          <w:sz w:val="24"/>
          <w:szCs w:val="24"/>
          <w:lang w:val="pl-PL"/>
        </w:rPr>
        <w:t xml:space="preserve">implementuje do krajowego systemu prawnego te wymagania Załącznika 14, które są niezbędne do bezpiecznego wykonywania operacji lotniczych na tych lotniskach, </w:t>
      </w:r>
      <w:r w:rsidRPr="002D2915">
        <w:rPr>
          <w:rFonts w:cs="Times New Roman"/>
          <w:bCs/>
          <w:sz w:val="24"/>
          <w:szCs w:val="24"/>
          <w:lang w:val="pl-PL"/>
        </w:rPr>
        <w:t xml:space="preserve">przy uwzględnieniu klasyfikacji lotnisk i rodzaju operacji. </w:t>
      </w:r>
      <w:r w:rsidR="00DB1ABA" w:rsidRPr="002D2915">
        <w:rPr>
          <w:rFonts w:cs="Times New Roman"/>
          <w:bCs/>
          <w:sz w:val="24"/>
          <w:szCs w:val="24"/>
          <w:lang w:val="pl-PL"/>
        </w:rPr>
        <w:t xml:space="preserve">Lotniska te zasadniczo są </w:t>
      </w:r>
      <w:r w:rsidR="00DB1AF4" w:rsidRPr="002D2915">
        <w:rPr>
          <w:rFonts w:cs="Times New Roman"/>
          <w:bCs/>
          <w:sz w:val="24"/>
          <w:szCs w:val="24"/>
          <w:lang w:val="pl-PL"/>
        </w:rPr>
        <w:t>wykorzystywane do użytku prywatnego, lotów szkolnych i rekreacyjnych. Należy pamiętać</w:t>
      </w:r>
      <w:r w:rsidR="00C40280" w:rsidRPr="002D2915">
        <w:rPr>
          <w:rFonts w:cs="Times New Roman"/>
          <w:bCs/>
          <w:sz w:val="24"/>
          <w:szCs w:val="24"/>
          <w:lang w:val="pl-PL"/>
        </w:rPr>
        <w:t xml:space="preserve"> jednak</w:t>
      </w:r>
      <w:r w:rsidR="00DB1AF4" w:rsidRPr="002D2915">
        <w:rPr>
          <w:rFonts w:cs="Times New Roman"/>
          <w:bCs/>
          <w:sz w:val="24"/>
          <w:szCs w:val="24"/>
          <w:lang w:val="pl-PL"/>
        </w:rPr>
        <w:t xml:space="preserve">, </w:t>
      </w:r>
      <w:r w:rsidR="00C40280" w:rsidRPr="002D2915">
        <w:rPr>
          <w:rFonts w:cs="Times New Roman"/>
          <w:bCs/>
          <w:sz w:val="24"/>
          <w:szCs w:val="24"/>
          <w:lang w:val="pl-PL"/>
        </w:rPr>
        <w:t xml:space="preserve">że </w:t>
      </w:r>
      <w:r w:rsidR="00DB1AF4" w:rsidRPr="002D2915">
        <w:rPr>
          <w:rFonts w:cs="Times New Roman"/>
          <w:bCs/>
          <w:sz w:val="24"/>
          <w:szCs w:val="24"/>
          <w:lang w:val="pl-PL"/>
        </w:rPr>
        <w:t>zgodnie art. 54. ust. 5 ustawy Prawo lotnicze, możliwe jest d</w:t>
      </w:r>
      <w:r w:rsidR="00DB1AF4" w:rsidRPr="002D2915">
        <w:rPr>
          <w:rFonts w:cs="Times New Roman"/>
          <w:sz w:val="24"/>
          <w:szCs w:val="24"/>
          <w:lang w:val="pl-PL"/>
        </w:rPr>
        <w:t>opuszczeni</w:t>
      </w:r>
      <w:r w:rsidR="00B449C7" w:rsidRPr="002D2915">
        <w:rPr>
          <w:rFonts w:cs="Times New Roman"/>
          <w:sz w:val="24"/>
          <w:szCs w:val="24"/>
          <w:lang w:val="pl-PL"/>
        </w:rPr>
        <w:t>e</w:t>
      </w:r>
      <w:r w:rsidR="00DB1AF4" w:rsidRPr="002D2915">
        <w:rPr>
          <w:rFonts w:cs="Times New Roman"/>
          <w:sz w:val="24"/>
          <w:szCs w:val="24"/>
          <w:lang w:val="pl-PL"/>
        </w:rPr>
        <w:t xml:space="preserve"> wykonywania </w:t>
      </w:r>
      <w:r w:rsidR="00C40280" w:rsidRPr="002D2915">
        <w:rPr>
          <w:rFonts w:cs="Times New Roman"/>
          <w:sz w:val="24"/>
          <w:szCs w:val="24"/>
          <w:lang w:val="pl-PL"/>
        </w:rPr>
        <w:t>na</w:t>
      </w:r>
      <w:r w:rsidR="00DB1AF4" w:rsidRPr="002D2915">
        <w:rPr>
          <w:rFonts w:cs="Times New Roman"/>
          <w:sz w:val="24"/>
          <w:szCs w:val="24"/>
          <w:lang w:val="pl-PL"/>
        </w:rPr>
        <w:t xml:space="preserve"> lotnisk</w:t>
      </w:r>
      <w:r w:rsidR="00C40280" w:rsidRPr="002D2915">
        <w:rPr>
          <w:rFonts w:cs="Times New Roman"/>
          <w:sz w:val="24"/>
          <w:szCs w:val="24"/>
          <w:lang w:val="pl-PL"/>
        </w:rPr>
        <w:t>ach</w:t>
      </w:r>
      <w:r w:rsidR="00DB1AF4" w:rsidRPr="002D2915">
        <w:rPr>
          <w:rFonts w:cs="Times New Roman"/>
          <w:sz w:val="24"/>
          <w:szCs w:val="24"/>
          <w:lang w:val="pl-PL"/>
        </w:rPr>
        <w:t xml:space="preserve"> użytku wyłącznego lotów czarterowych</w:t>
      </w:r>
      <w:r w:rsidR="00C40280" w:rsidRPr="002D2915">
        <w:rPr>
          <w:rFonts w:cs="Times New Roman"/>
          <w:sz w:val="24"/>
          <w:szCs w:val="24"/>
          <w:lang w:val="pl-PL"/>
        </w:rPr>
        <w:t xml:space="preserve"> </w:t>
      </w:r>
      <w:r w:rsidR="006D1719" w:rsidRPr="002D2915">
        <w:rPr>
          <w:rFonts w:cs="Times New Roman"/>
          <w:sz w:val="24"/>
          <w:szCs w:val="24"/>
          <w:lang w:val="pl-PL"/>
        </w:rPr>
        <w:t>śmigłowcami oraz samolotami o </w:t>
      </w:r>
      <w:r w:rsidR="00DB1AF4" w:rsidRPr="002D2915">
        <w:rPr>
          <w:rFonts w:cs="Times New Roman"/>
          <w:sz w:val="24"/>
          <w:szCs w:val="24"/>
          <w:lang w:val="pl-PL"/>
        </w:rPr>
        <w:t>maksymalnej masie startowej (MTOM) poniżej 10 000 kg lub o liczbie miejsc pasażerskich poniżej 20, w celu komercyjnego przewozu osób i towarów. Dlatego wymagania dla tych lotnisk nie powinny odbiegać od standardów międzynarodowych.</w:t>
      </w:r>
      <w:r w:rsidR="00B449C7" w:rsidRPr="002D2915">
        <w:rPr>
          <w:rFonts w:cs="Times New Roman"/>
          <w:sz w:val="24"/>
          <w:szCs w:val="24"/>
          <w:lang w:val="pl-PL"/>
        </w:rPr>
        <w:t xml:space="preserve"> </w:t>
      </w:r>
      <w:r w:rsidR="005D5CC5" w:rsidRPr="002D2915">
        <w:rPr>
          <w:rFonts w:cs="Times New Roman"/>
          <w:sz w:val="24"/>
          <w:szCs w:val="24"/>
          <w:lang w:val="pl-PL"/>
        </w:rPr>
        <w:t>Aktualnie obowiązujące r</w:t>
      </w:r>
      <w:r w:rsidRPr="002D2915">
        <w:rPr>
          <w:rFonts w:cs="Times New Roman"/>
          <w:sz w:val="24"/>
          <w:szCs w:val="24"/>
          <w:lang w:val="pl-PL"/>
        </w:rPr>
        <w:t xml:space="preserve">ozporządzenie 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odnosi się do niżej wymienionych wersji </w:t>
      </w:r>
      <w:r w:rsidRPr="002D2915">
        <w:rPr>
          <w:rFonts w:cs="Times New Roman"/>
          <w:sz w:val="24"/>
          <w:szCs w:val="24"/>
          <w:lang w:val="pl-PL"/>
        </w:rPr>
        <w:t>Załącznika 14:</w:t>
      </w:r>
    </w:p>
    <w:p w:rsidR="00C55A2F" w:rsidRPr="002D2915" w:rsidRDefault="00C55A2F" w:rsidP="00C55A2F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120" w:line="264" w:lineRule="auto"/>
        <w:ind w:left="993" w:hanging="426"/>
        <w:contextualSpacing w:val="0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sz w:val="24"/>
          <w:szCs w:val="24"/>
          <w:lang w:val="pl-PL"/>
        </w:rPr>
        <w:lastRenderedPageBreak/>
        <w:t>T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om I „Projektowanie i eksploatacja lotnisk" wydanie piąte z 2009 r. (obejmujące zmiany od 1 do 10B włącznie), </w:t>
      </w:r>
      <w:r w:rsidRPr="002D2915">
        <w:rPr>
          <w:rFonts w:cs="Times New Roman"/>
          <w:sz w:val="24"/>
          <w:szCs w:val="24"/>
          <w:lang w:val="pl-PL"/>
        </w:rPr>
        <w:t>ogłoszone w obwieszczenia nr 4 Prezesa Urzędu Lotnictwa Cywilnego z dnia 10 lutego 2011 r. (Dz. Urz. ULC z 2011 r. Nr 4, poz. 4);</w:t>
      </w:r>
    </w:p>
    <w:p w:rsidR="00C55A2F" w:rsidRPr="002D2915" w:rsidRDefault="00C55A2F" w:rsidP="00C55A2F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120" w:line="264" w:lineRule="auto"/>
        <w:ind w:left="993" w:hanging="426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Tom II „Lotniska dla śmigłowców" wydanie trzecie z 2009 r. (obejmujące zmiany od 1 do 4 włącznie), </w:t>
      </w:r>
      <w:r w:rsidRPr="002D2915">
        <w:rPr>
          <w:rFonts w:cs="Times New Roman"/>
          <w:sz w:val="24"/>
          <w:szCs w:val="24"/>
          <w:lang w:val="pl-PL"/>
        </w:rPr>
        <w:t>ogłoszone w obwieszczeniu nr 31 Prezesa Urzędu Lotnictwa Cywilnego z dnia 14 grudnia 2010 r. (Dz. Urz. ULC z 2010 r. Nr 25, poz. 100).</w:t>
      </w:r>
    </w:p>
    <w:p w:rsidR="00C55A2F" w:rsidRPr="002D2915" w:rsidRDefault="00C55A2F" w:rsidP="00C55A2F">
      <w:pPr>
        <w:widowControl/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sz w:val="24"/>
          <w:szCs w:val="24"/>
          <w:lang w:val="pl-PL"/>
        </w:rPr>
        <w:t xml:space="preserve">Niniejszy projekt ma na celu uaktualnienie </w:t>
      </w:r>
      <w:r w:rsidR="006D1719" w:rsidRPr="002D2915">
        <w:rPr>
          <w:rFonts w:cs="Times New Roman"/>
          <w:sz w:val="24"/>
          <w:szCs w:val="24"/>
          <w:lang w:val="pl-PL"/>
        </w:rPr>
        <w:t>przedmiotowego</w:t>
      </w:r>
      <w:r w:rsidRPr="002D2915">
        <w:rPr>
          <w:rFonts w:cs="Times New Roman"/>
          <w:sz w:val="24"/>
          <w:szCs w:val="24"/>
          <w:lang w:val="pl-PL"/>
        </w:rPr>
        <w:t xml:space="preserve"> rozporządzenia i wdrożenie nowych norm i zaleceń Załącznika 14 wprowadzonych zamianą: nr 11A z dnia 14.11.2013 r, nr 1</w:t>
      </w:r>
      <w:r w:rsidR="00C40280" w:rsidRPr="002D2915">
        <w:rPr>
          <w:rFonts w:cs="Times New Roman"/>
          <w:sz w:val="24"/>
          <w:szCs w:val="24"/>
          <w:lang w:val="pl-PL"/>
        </w:rPr>
        <w:t xml:space="preserve">1B z dnia 13.11.2014 r. i </w:t>
      </w:r>
      <w:r w:rsidRPr="002D2915">
        <w:rPr>
          <w:rFonts w:cs="Times New Roman"/>
          <w:sz w:val="24"/>
          <w:szCs w:val="24"/>
          <w:lang w:val="pl-PL"/>
        </w:rPr>
        <w:t xml:space="preserve">nr 12 z dnia 13.07.2015 r. do </w:t>
      </w:r>
      <w:r w:rsidR="00623B9E">
        <w:rPr>
          <w:rFonts w:cs="Times New Roman"/>
          <w:sz w:val="24"/>
          <w:szCs w:val="24"/>
          <w:lang w:val="pl-PL"/>
        </w:rPr>
        <w:t>T</w:t>
      </w:r>
      <w:r w:rsidRPr="002D2915">
        <w:rPr>
          <w:rFonts w:cs="Times New Roman"/>
          <w:sz w:val="24"/>
          <w:szCs w:val="24"/>
          <w:lang w:val="pl-PL"/>
        </w:rPr>
        <w:t xml:space="preserve">omu I „Projektowanie i eksploatacja lotnisk”, oraz zmianą: nr 5 z dnia 14.11.2103 i nr 6 z dnia 13.11.2014 r. do </w:t>
      </w:r>
      <w:r w:rsidR="00623B9E">
        <w:rPr>
          <w:rFonts w:cs="Times New Roman"/>
          <w:sz w:val="24"/>
          <w:szCs w:val="24"/>
          <w:lang w:val="pl-PL"/>
        </w:rPr>
        <w:t>T</w:t>
      </w:r>
      <w:r w:rsidRPr="002D2915">
        <w:rPr>
          <w:rFonts w:cs="Times New Roman"/>
          <w:sz w:val="24"/>
          <w:szCs w:val="24"/>
          <w:lang w:val="pl-PL"/>
        </w:rPr>
        <w:t>omu II „Lotniska dla śmigłowców”.</w:t>
      </w:r>
    </w:p>
    <w:p w:rsidR="00996BF6" w:rsidRPr="002D2915" w:rsidRDefault="00CF6C7B" w:rsidP="008C59F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W</w:t>
      </w:r>
      <w:r w:rsidR="00C62133" w:rsidRPr="002D2915">
        <w:rPr>
          <w:rFonts w:eastAsia="Times New Roman" w:cs="Times New Roman"/>
          <w:b/>
          <w:sz w:val="24"/>
          <w:szCs w:val="24"/>
          <w:lang w:val="pl-PL" w:eastAsia="pl-PL"/>
        </w:rPr>
        <w:t>skazanie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różnic pomiędzy dotychczasowym</w:t>
      </w:r>
      <w:r w:rsidR="00FB530A"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a projektowanym stanem prawnym</w:t>
      </w:r>
    </w:p>
    <w:p w:rsidR="00535E3C" w:rsidRPr="002D2915" w:rsidRDefault="00557B41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>
        <w:rPr>
          <w:rFonts w:cs="Times New Roman"/>
          <w:spacing w:val="-2"/>
          <w:sz w:val="24"/>
          <w:szCs w:val="24"/>
          <w:lang w:val="pl-PL"/>
        </w:rPr>
        <w:t xml:space="preserve">Projektowane rozporządzenie uwzględnia rozwiązania wynikające ze zmiany </w:t>
      </w:r>
      <w:r w:rsidR="00F30A78" w:rsidRPr="002D2915">
        <w:rPr>
          <w:rFonts w:cs="Times New Roman"/>
          <w:spacing w:val="-2"/>
          <w:sz w:val="24"/>
          <w:szCs w:val="24"/>
          <w:lang w:val="pl-PL"/>
        </w:rPr>
        <w:t>11A</w:t>
      </w:r>
      <w:r w:rsidR="00A42FB9"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BB0585" w:rsidRPr="002D2915">
        <w:rPr>
          <w:rFonts w:cs="Times New Roman"/>
          <w:spacing w:val="-2"/>
          <w:sz w:val="24"/>
          <w:szCs w:val="24"/>
          <w:lang w:val="pl-PL"/>
        </w:rPr>
        <w:t>do Załącznika 14</w:t>
      </w:r>
      <w:r w:rsidR="00705E2F"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A42FB9" w:rsidRPr="002D2915">
        <w:rPr>
          <w:rFonts w:cs="Times New Roman"/>
          <w:spacing w:val="-2"/>
          <w:sz w:val="24"/>
          <w:szCs w:val="24"/>
          <w:lang w:val="pl-PL"/>
        </w:rPr>
        <w:t>Tom I</w:t>
      </w:r>
      <w:r>
        <w:rPr>
          <w:rFonts w:cs="Times New Roman"/>
          <w:spacing w:val="-2"/>
          <w:sz w:val="24"/>
          <w:szCs w:val="24"/>
          <w:lang w:val="pl-PL"/>
        </w:rPr>
        <w:t xml:space="preserve">. W tym zakresie rozporządzenie </w:t>
      </w:r>
      <w:r w:rsidR="0073749C" w:rsidRPr="002D2915">
        <w:rPr>
          <w:rFonts w:cs="Times New Roman"/>
          <w:spacing w:val="-2"/>
          <w:sz w:val="24"/>
          <w:szCs w:val="24"/>
          <w:lang w:val="pl-PL"/>
        </w:rPr>
        <w:t xml:space="preserve">zmienia lub </w:t>
      </w:r>
      <w:r w:rsidR="00A42FB9" w:rsidRPr="002D2915">
        <w:rPr>
          <w:rFonts w:cs="Times New Roman"/>
          <w:spacing w:val="-2"/>
          <w:sz w:val="24"/>
          <w:szCs w:val="24"/>
          <w:lang w:val="pl-PL"/>
        </w:rPr>
        <w:t>wprowadz</w:t>
      </w:r>
      <w:r w:rsidR="00BB0585" w:rsidRPr="002D2915">
        <w:rPr>
          <w:rFonts w:cs="Times New Roman"/>
          <w:spacing w:val="-2"/>
          <w:sz w:val="24"/>
          <w:szCs w:val="24"/>
          <w:lang w:val="pl-PL"/>
        </w:rPr>
        <w:t xml:space="preserve">a </w:t>
      </w:r>
      <w:r w:rsidR="007A3BD6" w:rsidRPr="002D2915">
        <w:rPr>
          <w:rFonts w:cs="Times New Roman"/>
          <w:spacing w:val="-2"/>
          <w:sz w:val="24"/>
          <w:szCs w:val="24"/>
          <w:lang w:val="pl-PL"/>
        </w:rPr>
        <w:t xml:space="preserve">nowe, </w:t>
      </w:r>
      <w:r w:rsidR="00BB0585" w:rsidRPr="002D2915">
        <w:rPr>
          <w:rFonts w:cs="Times New Roman"/>
          <w:spacing w:val="-2"/>
          <w:sz w:val="24"/>
          <w:szCs w:val="24"/>
          <w:lang w:val="pl-PL"/>
        </w:rPr>
        <w:t>niżej wymienione</w:t>
      </w:r>
      <w:r w:rsidR="003A19A8">
        <w:rPr>
          <w:rFonts w:cs="Times New Roman"/>
          <w:spacing w:val="-2"/>
          <w:sz w:val="24"/>
          <w:szCs w:val="24"/>
          <w:lang w:val="pl-PL"/>
        </w:rPr>
        <w:t>,</w:t>
      </w:r>
      <w:r w:rsidR="00BB0585" w:rsidRPr="002D2915">
        <w:rPr>
          <w:rFonts w:cs="Times New Roman"/>
          <w:spacing w:val="-2"/>
          <w:sz w:val="24"/>
          <w:szCs w:val="24"/>
          <w:lang w:val="pl-PL"/>
        </w:rPr>
        <w:t xml:space="preserve"> wymagania</w:t>
      </w:r>
      <w:r w:rsidR="00A42FB9" w:rsidRPr="002D2915">
        <w:rPr>
          <w:rFonts w:cs="Times New Roman"/>
          <w:spacing w:val="-2"/>
          <w:sz w:val="24"/>
          <w:szCs w:val="24"/>
          <w:lang w:val="pl-PL"/>
        </w:rPr>
        <w:t xml:space="preserve"> dla lotnisk</w:t>
      </w:r>
      <w:r w:rsidR="00E86AC6" w:rsidRPr="002D2915">
        <w:rPr>
          <w:rFonts w:cs="Times New Roman"/>
          <w:spacing w:val="-2"/>
          <w:sz w:val="24"/>
          <w:szCs w:val="24"/>
          <w:lang w:val="pl-PL"/>
        </w:rPr>
        <w:t xml:space="preserve"> dla samolotów</w:t>
      </w:r>
      <w:r w:rsidR="003A19A8">
        <w:rPr>
          <w:rFonts w:cs="Times New Roman"/>
          <w:spacing w:val="-2"/>
          <w:sz w:val="24"/>
          <w:szCs w:val="24"/>
          <w:lang w:val="pl-PL"/>
        </w:rPr>
        <w:t>:</w:t>
      </w:r>
    </w:p>
    <w:p w:rsidR="005C7EAB" w:rsidRPr="002D2915" w:rsidRDefault="004D4C62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w </w:t>
      </w:r>
      <w:r w:rsidR="005C7EAB" w:rsidRPr="002D2915">
        <w:rPr>
          <w:rFonts w:cs="Times New Roman"/>
          <w:spacing w:val="-2"/>
          <w:sz w:val="24"/>
          <w:szCs w:val="24"/>
          <w:lang w:val="pl-PL"/>
        </w:rPr>
        <w:t xml:space="preserve">rozdziale 1 </w:t>
      </w:r>
      <w:r w:rsidR="00317C20" w:rsidRPr="002D2915">
        <w:rPr>
          <w:rFonts w:cs="Times New Roman"/>
          <w:spacing w:val="-2"/>
          <w:sz w:val="24"/>
          <w:szCs w:val="24"/>
          <w:lang w:val="pl-PL"/>
        </w:rPr>
        <w:t>wprowadzono nowe definicje, w tym</w:t>
      </w:r>
      <w:r w:rsidR="005C7EAB" w:rsidRPr="002D2915">
        <w:rPr>
          <w:rFonts w:cs="Times New Roman"/>
          <w:spacing w:val="-2"/>
          <w:sz w:val="24"/>
          <w:szCs w:val="24"/>
          <w:lang w:val="pl-PL"/>
        </w:rPr>
        <w:t>: miejsca niebezpiecznego, danych kartograficznych lotniska</w:t>
      </w:r>
      <w:r w:rsidR="006600D8" w:rsidRPr="002D2915">
        <w:rPr>
          <w:rFonts w:cs="Times New Roman"/>
          <w:spacing w:val="-2"/>
          <w:sz w:val="24"/>
          <w:szCs w:val="24"/>
          <w:lang w:val="pl-PL"/>
        </w:rPr>
        <w:t xml:space="preserve"> i klasyfikacja spójności oraz </w:t>
      </w:r>
      <w:r w:rsidR="00F87D1F" w:rsidRPr="002D2915">
        <w:rPr>
          <w:rFonts w:cs="Times New Roman"/>
          <w:spacing w:val="-2"/>
          <w:sz w:val="24"/>
          <w:szCs w:val="24"/>
          <w:lang w:val="pl-PL"/>
        </w:rPr>
        <w:t>drogi startowej przyrządowej i </w:t>
      </w:r>
      <w:r w:rsidR="003A19A8">
        <w:rPr>
          <w:rFonts w:cs="Times New Roman"/>
          <w:spacing w:val="-2"/>
          <w:sz w:val="24"/>
          <w:szCs w:val="24"/>
          <w:lang w:val="pl-PL"/>
        </w:rPr>
        <w:t>nie przyrządowej; p</w:t>
      </w:r>
      <w:r w:rsidR="005C7EAB" w:rsidRPr="002D2915">
        <w:rPr>
          <w:rFonts w:cs="Times New Roman"/>
          <w:spacing w:val="-2"/>
          <w:sz w:val="24"/>
          <w:szCs w:val="24"/>
          <w:lang w:val="pl-PL"/>
        </w:rPr>
        <w:t>onadto wymagania dotyczące systemu zarządzania bezpieczeństwem przeniesiono do Załącznik</w:t>
      </w:r>
      <w:r w:rsidR="00623B9E">
        <w:rPr>
          <w:rFonts w:cs="Times New Roman"/>
          <w:spacing w:val="-2"/>
          <w:sz w:val="24"/>
          <w:szCs w:val="24"/>
          <w:lang w:val="pl-PL"/>
        </w:rPr>
        <w:t>a</w:t>
      </w:r>
      <w:r w:rsidR="00F87D1F" w:rsidRPr="002D2915">
        <w:rPr>
          <w:rFonts w:cs="Times New Roman"/>
          <w:spacing w:val="-2"/>
          <w:sz w:val="24"/>
          <w:szCs w:val="24"/>
          <w:lang w:val="pl-PL"/>
        </w:rPr>
        <w:t> </w:t>
      </w:r>
      <w:r w:rsidR="001837E6" w:rsidRPr="002D2915">
        <w:rPr>
          <w:rFonts w:cs="Times New Roman"/>
          <w:spacing w:val="-2"/>
          <w:sz w:val="24"/>
          <w:szCs w:val="24"/>
          <w:lang w:val="pl-PL"/>
        </w:rPr>
        <w:t>19</w:t>
      </w:r>
      <w:r w:rsidR="00623B9E">
        <w:rPr>
          <w:rFonts w:cs="Times New Roman"/>
          <w:spacing w:val="-2"/>
          <w:sz w:val="24"/>
          <w:szCs w:val="24"/>
          <w:lang w:val="pl-PL"/>
        </w:rPr>
        <w:t xml:space="preserve"> do Konwencji</w:t>
      </w:r>
      <w:r w:rsidR="003A19A8">
        <w:rPr>
          <w:rFonts w:cs="Times New Roman"/>
          <w:spacing w:val="-2"/>
          <w:sz w:val="24"/>
          <w:szCs w:val="24"/>
          <w:lang w:val="pl-PL"/>
        </w:rPr>
        <w:t>,</w:t>
      </w:r>
    </w:p>
    <w:p w:rsidR="00EB319F" w:rsidRPr="002D2915" w:rsidRDefault="004D4C62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w </w:t>
      </w:r>
      <w:r w:rsidR="00317C20" w:rsidRPr="002D2915">
        <w:rPr>
          <w:rFonts w:cs="Times New Roman"/>
          <w:spacing w:val="-2"/>
          <w:sz w:val="24"/>
          <w:szCs w:val="24"/>
          <w:lang w:val="pl-PL"/>
        </w:rPr>
        <w:t xml:space="preserve">rozdziale </w:t>
      </w:r>
      <w:r w:rsidR="00EB319F" w:rsidRPr="002D2915">
        <w:rPr>
          <w:rFonts w:cs="Times New Roman"/>
          <w:spacing w:val="-2"/>
          <w:sz w:val="24"/>
          <w:szCs w:val="24"/>
          <w:lang w:val="pl-PL"/>
        </w:rPr>
        <w:t xml:space="preserve">2 </w:t>
      </w:r>
      <w:r w:rsidR="00317C20" w:rsidRPr="002D2915">
        <w:rPr>
          <w:rFonts w:cs="Times New Roman"/>
          <w:spacing w:val="-2"/>
          <w:sz w:val="24"/>
          <w:szCs w:val="24"/>
          <w:lang w:val="pl-PL"/>
        </w:rPr>
        <w:t>wprowadzono przepisy dotyczące udostępniania danych kartograficznych lotniska oraz zmieniono klasyfikację</w:t>
      </w:r>
      <w:r w:rsidR="00EB319F"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317C20" w:rsidRPr="002D2915">
        <w:rPr>
          <w:rFonts w:cs="Times New Roman"/>
          <w:spacing w:val="-2"/>
          <w:sz w:val="24"/>
          <w:szCs w:val="24"/>
          <w:lang w:val="pl-PL"/>
        </w:rPr>
        <w:t>spójności danych lotniczych</w:t>
      </w:r>
      <w:r w:rsidR="003A19A8">
        <w:rPr>
          <w:rFonts w:cs="Times New Roman"/>
          <w:spacing w:val="-2"/>
          <w:sz w:val="24"/>
          <w:szCs w:val="24"/>
          <w:lang w:val="pl-PL"/>
        </w:rPr>
        <w:t>;</w:t>
      </w:r>
      <w:r w:rsidR="00EB319F"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3A19A8">
        <w:rPr>
          <w:rFonts w:cs="Times New Roman"/>
          <w:spacing w:val="-2"/>
          <w:sz w:val="24"/>
          <w:szCs w:val="24"/>
          <w:lang w:val="pl-PL"/>
        </w:rPr>
        <w:t>z</w:t>
      </w:r>
      <w:r w:rsidR="00EB319F" w:rsidRPr="002D2915">
        <w:rPr>
          <w:rFonts w:cs="Times New Roman"/>
          <w:spacing w:val="-2"/>
          <w:sz w:val="24"/>
          <w:szCs w:val="24"/>
          <w:lang w:val="pl-PL"/>
        </w:rPr>
        <w:t>mieniono kategorię maksymalnego dopuszczalnego ciśnienia w oponach oraz sposób oceny stanu nawierzchni drogi startowej</w:t>
      </w:r>
      <w:r w:rsidR="003A19A8">
        <w:rPr>
          <w:rFonts w:cs="Times New Roman"/>
          <w:spacing w:val="-2"/>
          <w:sz w:val="24"/>
          <w:szCs w:val="24"/>
          <w:lang w:val="pl-PL"/>
        </w:rPr>
        <w:t>,</w:t>
      </w:r>
    </w:p>
    <w:p w:rsidR="00EB319F" w:rsidRPr="002D2915" w:rsidRDefault="003A19A8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eastAsiaTheme="minorEastAsia" w:cs="Times New Roman"/>
          <w:sz w:val="24"/>
          <w:szCs w:val="24"/>
          <w:lang w:val="pl-PL"/>
        </w:rPr>
      </w:pPr>
      <w:r>
        <w:rPr>
          <w:rFonts w:cs="Times New Roman"/>
          <w:spacing w:val="-2"/>
          <w:sz w:val="24"/>
          <w:szCs w:val="24"/>
          <w:lang w:val="pl-PL"/>
        </w:rPr>
        <w:t>w</w:t>
      </w:r>
      <w:r w:rsidR="00EB319F" w:rsidRPr="002D2915">
        <w:rPr>
          <w:rFonts w:cs="Times New Roman"/>
          <w:spacing w:val="-2"/>
          <w:sz w:val="24"/>
          <w:szCs w:val="24"/>
          <w:lang w:val="pl-PL"/>
        </w:rPr>
        <w:t xml:space="preserve"> rozdziale 3 zmieniono wymagania dotyczące pomiaru charakterystyki tarcia nawierzchni drogi startowej oraz wymagania dotyczące strefy bezpieczeństwa końca drogi startowej (RESA)</w:t>
      </w:r>
      <w:r>
        <w:rPr>
          <w:rFonts w:cs="Times New Roman"/>
          <w:spacing w:val="-2"/>
          <w:sz w:val="24"/>
          <w:szCs w:val="24"/>
          <w:lang w:val="pl-PL"/>
        </w:rPr>
        <w:t>,</w:t>
      </w:r>
    </w:p>
    <w:p w:rsidR="0051489D" w:rsidRPr="002D2915" w:rsidRDefault="004D4C62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w </w:t>
      </w:r>
      <w:r w:rsidR="00EB319F" w:rsidRPr="002D2915">
        <w:rPr>
          <w:rFonts w:cs="Times New Roman"/>
          <w:spacing w:val="-2"/>
          <w:sz w:val="24"/>
          <w:szCs w:val="24"/>
          <w:lang w:val="pl-PL"/>
        </w:rPr>
        <w:t xml:space="preserve">rozdziale 5 wprowadzono </w:t>
      </w:r>
      <w:r w:rsidR="00415079" w:rsidRPr="002D2915">
        <w:rPr>
          <w:rFonts w:cs="Times New Roman"/>
          <w:spacing w:val="-2"/>
          <w:sz w:val="24"/>
          <w:szCs w:val="24"/>
          <w:lang w:val="pl-PL"/>
        </w:rPr>
        <w:t>wymagania dotyczące bardziej wyrazistego oznakowania linii środkowej drogi kołowania, jeśli jest ono zapewniane (</w:t>
      </w:r>
      <w:r w:rsidR="00415079" w:rsidRPr="002D2915">
        <w:rPr>
          <w:rFonts w:cs="Times New Roman"/>
          <w:sz w:val="24"/>
          <w:szCs w:val="24"/>
          <w:lang w:val="pl-PL"/>
        </w:rPr>
        <w:t xml:space="preserve">5.2.8.9), </w:t>
      </w:r>
      <w:bookmarkStart w:id="1" w:name="_Toc394315005"/>
      <w:r w:rsidR="00415079" w:rsidRPr="002D2915">
        <w:rPr>
          <w:rFonts w:cs="Times New Roman"/>
          <w:sz w:val="24"/>
          <w:szCs w:val="24"/>
          <w:lang w:val="pl-PL"/>
        </w:rPr>
        <w:t>p</w:t>
      </w:r>
      <w:r w:rsidR="00415079" w:rsidRPr="002D2915">
        <w:rPr>
          <w:rFonts w:cs="Times New Roman"/>
          <w:spacing w:val="-2"/>
          <w:sz w:val="24"/>
          <w:szCs w:val="24"/>
          <w:lang w:val="pl-PL"/>
        </w:rPr>
        <w:t>rostych świateł strefy przyziemienia</w:t>
      </w:r>
      <w:bookmarkEnd w:id="1"/>
      <w:r w:rsidR="00415079" w:rsidRPr="002D2915">
        <w:rPr>
          <w:rFonts w:cs="Times New Roman"/>
          <w:spacing w:val="-2"/>
          <w:sz w:val="24"/>
          <w:szCs w:val="24"/>
          <w:lang w:val="pl-PL"/>
        </w:rPr>
        <w:t xml:space="preserve"> (5.3.14)</w:t>
      </w:r>
      <w:r w:rsidR="00020B3E" w:rsidRPr="002D2915">
        <w:rPr>
          <w:rFonts w:cs="Times New Roman"/>
          <w:spacing w:val="-2"/>
          <w:sz w:val="24"/>
          <w:szCs w:val="24"/>
          <w:lang w:val="pl-PL"/>
        </w:rPr>
        <w:t>, świateł linii środkowej drogi kołowania (5.3.1</w:t>
      </w:r>
      <w:r w:rsidR="00CD096F" w:rsidRPr="002D2915">
        <w:rPr>
          <w:rFonts w:cs="Times New Roman"/>
          <w:spacing w:val="-2"/>
          <w:sz w:val="24"/>
          <w:szCs w:val="24"/>
          <w:lang w:val="pl-PL"/>
        </w:rPr>
        <w:t>7.8</w:t>
      </w:r>
      <w:r w:rsidR="00020B3E" w:rsidRPr="002D2915">
        <w:rPr>
          <w:rFonts w:cs="Times New Roman"/>
          <w:spacing w:val="-2"/>
          <w:sz w:val="24"/>
          <w:szCs w:val="24"/>
          <w:lang w:val="pl-PL"/>
        </w:rPr>
        <w:t>), poprzeczki zatrzymania (5.3.20.7)</w:t>
      </w:r>
      <w:r w:rsidR="0051489D" w:rsidRPr="002D2915">
        <w:rPr>
          <w:rFonts w:cs="Times New Roman"/>
          <w:spacing w:val="-2"/>
          <w:sz w:val="24"/>
          <w:szCs w:val="24"/>
          <w:lang w:val="pl-PL"/>
        </w:rPr>
        <w:t>,  świateł ochronnych drogi startowej w układzie A lub B (5.3.23.2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 xml:space="preserve"> i </w:t>
      </w:r>
      <w:r w:rsidR="00BC7D52" w:rsidRPr="002D2915">
        <w:rPr>
          <w:rFonts w:cs="Times New Roman"/>
          <w:spacing w:val="-2"/>
          <w:sz w:val="24"/>
          <w:szCs w:val="24"/>
          <w:lang w:val="pl-PL"/>
        </w:rPr>
        <w:t>5.3.23.3</w:t>
      </w:r>
      <w:r w:rsidR="0051489D" w:rsidRPr="002D2915">
        <w:rPr>
          <w:rFonts w:cs="Times New Roman"/>
          <w:spacing w:val="-2"/>
          <w:sz w:val="24"/>
          <w:szCs w:val="24"/>
          <w:lang w:val="pl-PL"/>
        </w:rPr>
        <w:t xml:space="preserve">) </w:t>
      </w:r>
      <w:bookmarkStart w:id="2" w:name="_Toc394344814"/>
      <w:r w:rsidR="00BC7D52" w:rsidRPr="002D2915">
        <w:rPr>
          <w:rFonts w:cs="Times New Roman"/>
          <w:spacing w:val="-2"/>
          <w:sz w:val="24"/>
          <w:szCs w:val="24"/>
          <w:lang w:val="pl-PL"/>
        </w:rPr>
        <w:t xml:space="preserve">oraz </w:t>
      </w:r>
      <w:r w:rsidR="0051489D" w:rsidRPr="002D2915">
        <w:rPr>
          <w:rFonts w:cs="Times New Roman"/>
          <w:spacing w:val="-2"/>
          <w:sz w:val="24"/>
          <w:szCs w:val="24"/>
          <w:lang w:val="pl-PL"/>
        </w:rPr>
        <w:t>poprzeczek zakazu wjazdu</w:t>
      </w:r>
      <w:bookmarkEnd w:id="2"/>
      <w:r w:rsidR="0051489D" w:rsidRPr="002D2915">
        <w:rPr>
          <w:rFonts w:cs="Times New Roman"/>
          <w:spacing w:val="-2"/>
          <w:sz w:val="24"/>
          <w:szCs w:val="24"/>
          <w:lang w:val="pl-PL"/>
        </w:rPr>
        <w:t xml:space="preserve"> (5.3.29)</w:t>
      </w:r>
      <w:r w:rsidR="003A19A8">
        <w:rPr>
          <w:rFonts w:cs="Times New Roman"/>
          <w:spacing w:val="-2"/>
          <w:sz w:val="24"/>
          <w:szCs w:val="24"/>
          <w:lang w:val="pl-PL"/>
        </w:rPr>
        <w:t>,</w:t>
      </w:r>
    </w:p>
    <w:p w:rsidR="00B57441" w:rsidRPr="002D2915" w:rsidRDefault="004D4C62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w 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>rozdziale 10 wprowadzono wymagania dotyczące utrzymani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>a nawierzchni drogi startowej i 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>zapewnienia charakterystyki tarcia o minimalnym współczynniku tarcia nawierzchni (</w:t>
      </w:r>
      <w:r w:rsidR="00B57441" w:rsidRPr="002D2915">
        <w:rPr>
          <w:rFonts w:cs="Times New Roman"/>
          <w:sz w:val="24"/>
          <w:szCs w:val="24"/>
          <w:lang w:val="pl-PL"/>
        </w:rPr>
        <w:t>10.2.3-5)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>, usuwania zanieczyszczeń z drogi startowej (</w:t>
      </w:r>
      <w:r w:rsidR="00B57441" w:rsidRPr="002D2915">
        <w:rPr>
          <w:rFonts w:cs="Times New Roman"/>
          <w:sz w:val="24"/>
          <w:szCs w:val="24"/>
          <w:lang w:val="pl-PL"/>
        </w:rPr>
        <w:t>10.3.1, 10.3.4)</w:t>
      </w:r>
      <w:r w:rsidR="003A19A8">
        <w:rPr>
          <w:rFonts w:cs="Times New Roman"/>
          <w:sz w:val="24"/>
          <w:szCs w:val="24"/>
          <w:lang w:val="pl-PL"/>
        </w:rPr>
        <w:t>,</w:t>
      </w:r>
    </w:p>
    <w:p w:rsidR="00B57441" w:rsidRPr="002D2915" w:rsidRDefault="004D4C62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bookmarkStart w:id="3" w:name="_Toc303693061"/>
      <w:bookmarkStart w:id="4" w:name="_Toc394344869"/>
      <w:r w:rsidRPr="002D2915">
        <w:rPr>
          <w:rFonts w:cs="Times New Roman"/>
          <w:spacing w:val="-2"/>
          <w:sz w:val="24"/>
          <w:szCs w:val="24"/>
          <w:lang w:val="pl-PL"/>
        </w:rPr>
        <w:t xml:space="preserve">w 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 xml:space="preserve">dodatku 1 określono wymagania </w:t>
      </w:r>
      <w:bookmarkStart w:id="5" w:name="_Toc303693063"/>
      <w:bookmarkStart w:id="6" w:name="_Toc394344871"/>
      <w:bookmarkEnd w:id="3"/>
      <w:bookmarkEnd w:id="4"/>
      <w:r w:rsidR="00B57441" w:rsidRPr="002D2915">
        <w:rPr>
          <w:rFonts w:cs="Times New Roman"/>
          <w:spacing w:val="-2"/>
          <w:sz w:val="24"/>
          <w:szCs w:val="24"/>
          <w:lang w:val="pl-PL"/>
        </w:rPr>
        <w:t xml:space="preserve">dla kolorów i chromatyczności naziemnych świateł LED-owych </w:t>
      </w:r>
      <w:r w:rsidR="00EC2AD8" w:rsidRPr="002D2915">
        <w:rPr>
          <w:rFonts w:cs="Times New Roman"/>
          <w:spacing w:val="-2"/>
          <w:sz w:val="24"/>
          <w:szCs w:val="24"/>
          <w:lang w:val="pl-PL"/>
        </w:rPr>
        <w:t xml:space="preserve">(2.1) 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 xml:space="preserve">stosowanych </w:t>
      </w:r>
      <w:r w:rsidR="00EC2AD8" w:rsidRPr="002D2915">
        <w:rPr>
          <w:rFonts w:cs="Times New Roman"/>
          <w:spacing w:val="-2"/>
          <w:sz w:val="24"/>
          <w:szCs w:val="24"/>
          <w:lang w:val="pl-PL"/>
        </w:rPr>
        <w:t>na lotnisku</w:t>
      </w:r>
      <w:r w:rsidR="003A19A8">
        <w:rPr>
          <w:rFonts w:cs="Times New Roman"/>
          <w:spacing w:val="-2"/>
          <w:sz w:val="24"/>
          <w:szCs w:val="24"/>
          <w:lang w:val="pl-PL"/>
        </w:rPr>
        <w:t>,</w:t>
      </w:r>
    </w:p>
    <w:p w:rsidR="00B57441" w:rsidRPr="002D2915" w:rsidRDefault="004D4C62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z w:val="24"/>
          <w:szCs w:val="24"/>
          <w:lang w:val="pl-PL"/>
        </w:rPr>
      </w:pPr>
      <w:bookmarkStart w:id="7" w:name="_Toc303693071"/>
      <w:bookmarkStart w:id="8" w:name="_Toc394344878"/>
      <w:bookmarkEnd w:id="5"/>
      <w:bookmarkEnd w:id="6"/>
      <w:r w:rsidRPr="002D2915">
        <w:rPr>
          <w:rFonts w:cs="Times New Roman"/>
          <w:spacing w:val="-2"/>
          <w:sz w:val="24"/>
          <w:szCs w:val="24"/>
          <w:lang w:val="pl-PL"/>
        </w:rPr>
        <w:t xml:space="preserve">w </w:t>
      </w:r>
      <w:r w:rsidR="00EC2AD8" w:rsidRPr="002D2915">
        <w:rPr>
          <w:rFonts w:cs="Times New Roman"/>
          <w:spacing w:val="-2"/>
          <w:sz w:val="24"/>
          <w:szCs w:val="24"/>
          <w:lang w:val="pl-PL"/>
        </w:rPr>
        <w:t>załączniku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 xml:space="preserve"> A </w:t>
      </w:r>
      <w:r w:rsidR="00EC2AD8" w:rsidRPr="002D2915">
        <w:rPr>
          <w:rFonts w:cs="Times New Roman"/>
          <w:spacing w:val="-2"/>
          <w:sz w:val="24"/>
          <w:szCs w:val="24"/>
          <w:lang w:val="pl-PL"/>
        </w:rPr>
        <w:t xml:space="preserve">zmieniono znacznie wskazówki merytoryczne </w:t>
      </w:r>
      <w:bookmarkEnd w:id="7"/>
      <w:bookmarkEnd w:id="8"/>
      <w:r w:rsidR="00EC2AD8" w:rsidRPr="002D2915">
        <w:rPr>
          <w:rFonts w:cs="Times New Roman"/>
          <w:spacing w:val="-2"/>
          <w:sz w:val="24"/>
          <w:szCs w:val="24"/>
          <w:lang w:val="pl-PL"/>
        </w:rPr>
        <w:t>dotyczące:</w:t>
      </w:r>
    </w:p>
    <w:p w:rsidR="00B57441" w:rsidRPr="002D2915" w:rsidRDefault="00EC2AD8" w:rsidP="00EE51A0">
      <w:pPr>
        <w:pStyle w:val="Akapitzlist"/>
        <w:widowControl/>
        <w:numPr>
          <w:ilvl w:val="0"/>
          <w:numId w:val="15"/>
        </w:numPr>
        <w:tabs>
          <w:tab w:val="left" w:pos="1701"/>
        </w:tabs>
        <w:spacing w:after="120" w:line="264" w:lineRule="auto"/>
        <w:ind w:left="1701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>o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>cen</w:t>
      </w:r>
      <w:r w:rsidRPr="002D2915">
        <w:rPr>
          <w:rFonts w:cs="Times New Roman"/>
          <w:spacing w:val="-2"/>
          <w:sz w:val="24"/>
          <w:szCs w:val="24"/>
          <w:lang w:val="pl-PL"/>
        </w:rPr>
        <w:t>y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 xml:space="preserve"> charakterystyk tarcia nawierzchni sztucznych pokrytych warstwą śniegu, błota pośniegowego, lodem i szronem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(Sekcja 6),</w:t>
      </w:r>
    </w:p>
    <w:p w:rsidR="00B57441" w:rsidRPr="002D2915" w:rsidRDefault="00EC2AD8" w:rsidP="00EE51A0">
      <w:pPr>
        <w:pStyle w:val="Akapitzlist"/>
        <w:widowControl/>
        <w:numPr>
          <w:ilvl w:val="0"/>
          <w:numId w:val="15"/>
        </w:numPr>
        <w:tabs>
          <w:tab w:val="left" w:pos="1701"/>
        </w:tabs>
        <w:spacing w:after="120" w:line="264" w:lineRule="auto"/>
        <w:ind w:left="1701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>o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>kreślani</w:t>
      </w:r>
      <w:r w:rsidRPr="002D2915">
        <w:rPr>
          <w:rFonts w:cs="Times New Roman"/>
          <w:spacing w:val="-2"/>
          <w:sz w:val="24"/>
          <w:szCs w:val="24"/>
          <w:lang w:val="pl-PL"/>
        </w:rPr>
        <w:t>a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 xml:space="preserve"> charakterystyk tarcia nawierzchni dla celów konstrukcyjnych i naprawczych (budowy i eksploatacji)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(Sekcja 7</w:t>
      </w:r>
      <w:r w:rsidR="00DE6CAF" w:rsidRPr="002D2915">
        <w:rPr>
          <w:rFonts w:cs="Times New Roman"/>
          <w:spacing w:val="-2"/>
          <w:sz w:val="24"/>
          <w:szCs w:val="24"/>
          <w:lang w:val="pl-PL"/>
        </w:rPr>
        <w:t>)</w:t>
      </w:r>
      <w:r w:rsidR="003A19A8">
        <w:rPr>
          <w:rFonts w:cs="Times New Roman"/>
          <w:spacing w:val="-2"/>
          <w:sz w:val="24"/>
          <w:szCs w:val="24"/>
          <w:lang w:val="pl-PL"/>
        </w:rPr>
        <w:t>,</w:t>
      </w:r>
    </w:p>
    <w:p w:rsidR="00B57441" w:rsidRPr="002D2915" w:rsidRDefault="00EC2AD8" w:rsidP="00EE51A0">
      <w:pPr>
        <w:pStyle w:val="Akapitzlist"/>
        <w:widowControl/>
        <w:numPr>
          <w:ilvl w:val="0"/>
          <w:numId w:val="15"/>
        </w:numPr>
        <w:tabs>
          <w:tab w:val="left" w:pos="1701"/>
        </w:tabs>
        <w:spacing w:after="120" w:line="264" w:lineRule="auto"/>
        <w:ind w:left="1701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lastRenderedPageBreak/>
        <w:t>c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>harakterystyk dotycząc</w:t>
      </w:r>
      <w:r w:rsidRPr="002D2915">
        <w:rPr>
          <w:rFonts w:cs="Times New Roman"/>
          <w:spacing w:val="-2"/>
          <w:sz w:val="24"/>
          <w:szCs w:val="24"/>
          <w:lang w:val="pl-PL"/>
        </w:rPr>
        <w:t>ych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 xml:space="preserve"> odprowadzania wody z pola ruchu naziemnego i obszarów przylegających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(Sekcja 8)</w:t>
      </w:r>
      <w:r w:rsidR="003A19A8">
        <w:rPr>
          <w:rFonts w:cs="Times New Roman"/>
          <w:spacing w:val="-2"/>
          <w:sz w:val="24"/>
          <w:szCs w:val="24"/>
          <w:lang w:val="pl-PL"/>
        </w:rPr>
        <w:t>,</w:t>
      </w:r>
    </w:p>
    <w:p w:rsidR="00B57441" w:rsidRPr="002D2915" w:rsidRDefault="00EC2AD8" w:rsidP="00EE51A0">
      <w:pPr>
        <w:pStyle w:val="Akapitzlist"/>
        <w:widowControl/>
        <w:numPr>
          <w:ilvl w:val="0"/>
          <w:numId w:val="15"/>
        </w:numPr>
        <w:tabs>
          <w:tab w:val="left" w:pos="1701"/>
        </w:tabs>
        <w:spacing w:after="120" w:line="264" w:lineRule="auto"/>
        <w:ind w:left="1701" w:hanging="567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>s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>tref</w:t>
      </w:r>
      <w:r w:rsidRPr="002D2915">
        <w:rPr>
          <w:rFonts w:cs="Times New Roman"/>
          <w:spacing w:val="-2"/>
          <w:sz w:val="24"/>
          <w:szCs w:val="24"/>
          <w:lang w:val="pl-PL"/>
        </w:rPr>
        <w:t>y</w:t>
      </w:r>
      <w:r w:rsidR="00B57441" w:rsidRPr="002D2915">
        <w:rPr>
          <w:rFonts w:cs="Times New Roman"/>
          <w:spacing w:val="-2"/>
          <w:sz w:val="24"/>
          <w:szCs w:val="24"/>
          <w:lang w:val="pl-PL"/>
        </w:rPr>
        <w:t xml:space="preserve"> bezpieczeństwa końca drogi startowej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(RESA) (Sekcja 10)</w:t>
      </w:r>
      <w:r w:rsidR="003A19A8">
        <w:rPr>
          <w:rFonts w:cs="Times New Roman"/>
          <w:spacing w:val="-2"/>
          <w:sz w:val="24"/>
          <w:szCs w:val="24"/>
          <w:lang w:val="pl-PL"/>
        </w:rPr>
        <w:t>.</w:t>
      </w:r>
    </w:p>
    <w:p w:rsidR="00E86AC6" w:rsidRPr="002D2915" w:rsidRDefault="00BB0585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Zmiana </w:t>
      </w:r>
      <w:r w:rsidR="00F30A78" w:rsidRPr="002D2915">
        <w:rPr>
          <w:rFonts w:cs="Times New Roman"/>
          <w:spacing w:val="-2"/>
          <w:sz w:val="24"/>
          <w:szCs w:val="24"/>
          <w:lang w:val="pl-PL"/>
        </w:rPr>
        <w:t xml:space="preserve">11B do Załącznika 14 Tom I </w:t>
      </w:r>
      <w:r w:rsidR="00E86AC6" w:rsidRPr="002D2915">
        <w:rPr>
          <w:rFonts w:cs="Times New Roman"/>
          <w:spacing w:val="-2"/>
          <w:sz w:val="24"/>
          <w:szCs w:val="24"/>
          <w:lang w:val="pl-PL"/>
        </w:rPr>
        <w:t xml:space="preserve">dotyczy </w:t>
      </w:r>
      <w:r w:rsidR="0041007B" w:rsidRPr="002D2915">
        <w:rPr>
          <w:rFonts w:cs="Times New Roman"/>
          <w:spacing w:val="-2"/>
          <w:sz w:val="24"/>
          <w:szCs w:val="24"/>
          <w:lang w:val="pl-PL"/>
        </w:rPr>
        <w:t xml:space="preserve">przede wszystkim </w:t>
      </w:r>
      <w:r w:rsidR="00E86AC6" w:rsidRPr="002D2915">
        <w:rPr>
          <w:rFonts w:cs="Times New Roman"/>
          <w:spacing w:val="-2"/>
          <w:sz w:val="24"/>
          <w:szCs w:val="24"/>
          <w:lang w:val="pl-PL"/>
        </w:rPr>
        <w:t>poprawionych definicji drogi startowej z podejściem nieprecyzyjnym i z podejściem precyzyjnym w związku z nową klasyfikacją podejścia do lądowania.</w:t>
      </w:r>
    </w:p>
    <w:p w:rsidR="0041007B" w:rsidRPr="002D2915" w:rsidRDefault="00222A06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>Zmiana 12 do Z</w:t>
      </w:r>
      <w:r w:rsidR="0041007B" w:rsidRPr="002D2915">
        <w:rPr>
          <w:rFonts w:cs="Times New Roman"/>
          <w:spacing w:val="-2"/>
          <w:sz w:val="24"/>
          <w:szCs w:val="24"/>
          <w:lang w:val="pl-PL"/>
        </w:rPr>
        <w:t xml:space="preserve">ałącznika 14 </w:t>
      </w:r>
      <w:r w:rsidR="00623B9E">
        <w:rPr>
          <w:rFonts w:cs="Times New Roman"/>
          <w:spacing w:val="-2"/>
          <w:sz w:val="24"/>
          <w:szCs w:val="24"/>
          <w:lang w:val="pl-PL"/>
        </w:rPr>
        <w:t>T</w:t>
      </w:r>
      <w:r w:rsidR="0041007B" w:rsidRPr="002D2915">
        <w:rPr>
          <w:rFonts w:cs="Times New Roman"/>
          <w:spacing w:val="-2"/>
          <w:sz w:val="24"/>
          <w:szCs w:val="24"/>
          <w:lang w:val="pl-PL"/>
        </w:rPr>
        <w:t xml:space="preserve">om I, dotyczy </w:t>
      </w:r>
      <w:r w:rsidR="0041007B" w:rsidRPr="002D2915">
        <w:rPr>
          <w:rFonts w:cs="Times New Roman"/>
          <w:sz w:val="24"/>
          <w:szCs w:val="24"/>
          <w:lang w:val="pl-PL"/>
        </w:rPr>
        <w:t xml:space="preserve">wdrożenia nowego </w:t>
      </w:r>
      <w:r w:rsidR="0041007B" w:rsidRPr="002D2915">
        <w:rPr>
          <w:rFonts w:cs="Times New Roman"/>
          <w:spacing w:val="-2"/>
          <w:sz w:val="24"/>
          <w:szCs w:val="24"/>
          <w:lang w:val="pl-PL"/>
        </w:rPr>
        <w:t>podręcznika</w:t>
      </w:r>
      <w:r w:rsidR="0041007B" w:rsidRPr="002D2915">
        <w:rPr>
          <w:rFonts w:cs="Times New Roman"/>
          <w:sz w:val="24"/>
          <w:szCs w:val="24"/>
          <w:lang w:val="pl-PL"/>
        </w:rPr>
        <w:t xml:space="preserve"> ICAO, tj.: </w:t>
      </w:r>
      <w:r w:rsidR="0041007B" w:rsidRPr="002D2915">
        <w:rPr>
          <w:rFonts w:cs="Times New Roman"/>
          <w:i/>
          <w:iCs/>
          <w:sz w:val="24"/>
          <w:szCs w:val="24"/>
          <w:lang w:val="pl-PL"/>
        </w:rPr>
        <w:t>„Procedury służb żeglugi powietrznej — Lotniska</w:t>
      </w:r>
      <w:r w:rsidR="0041007B" w:rsidRPr="002D2915">
        <w:rPr>
          <w:rFonts w:cs="Times New Roman"/>
          <w:sz w:val="24"/>
          <w:szCs w:val="24"/>
          <w:lang w:val="pl-PL"/>
        </w:rPr>
        <w:t>”</w:t>
      </w:r>
      <w:r w:rsidR="00945EA7" w:rsidRPr="002D2915">
        <w:rPr>
          <w:rFonts w:cs="Times New Roman"/>
          <w:sz w:val="24"/>
          <w:szCs w:val="24"/>
          <w:lang w:val="pl-PL"/>
        </w:rPr>
        <w:t xml:space="preserve"> (</w:t>
      </w:r>
      <w:r w:rsidR="0041007B" w:rsidRPr="002D2915">
        <w:rPr>
          <w:rFonts w:cs="Times New Roman"/>
          <w:i/>
          <w:iCs/>
          <w:sz w:val="24"/>
          <w:szCs w:val="24"/>
          <w:lang w:val="pl-PL"/>
        </w:rPr>
        <w:t>PANS-</w:t>
      </w:r>
      <w:proofErr w:type="spellStart"/>
      <w:r w:rsidR="0041007B" w:rsidRPr="002D2915">
        <w:rPr>
          <w:rFonts w:cs="Times New Roman"/>
          <w:i/>
          <w:iCs/>
          <w:sz w:val="24"/>
          <w:szCs w:val="24"/>
          <w:lang w:val="pl-PL"/>
        </w:rPr>
        <w:t>A</w:t>
      </w:r>
      <w:r w:rsidR="00945EA7" w:rsidRPr="002D2915">
        <w:rPr>
          <w:rFonts w:cs="Times New Roman"/>
          <w:i/>
          <w:iCs/>
          <w:sz w:val="24"/>
          <w:szCs w:val="24"/>
          <w:lang w:val="pl-PL"/>
        </w:rPr>
        <w:t>erodromes</w:t>
      </w:r>
      <w:proofErr w:type="spellEnd"/>
      <w:r w:rsidR="00945EA7" w:rsidRPr="002D2915">
        <w:rPr>
          <w:rFonts w:cs="Times New Roman"/>
          <w:i/>
          <w:iCs/>
          <w:sz w:val="24"/>
          <w:szCs w:val="24"/>
          <w:lang w:val="pl-PL"/>
        </w:rPr>
        <w:t>)</w:t>
      </w:r>
      <w:r w:rsidR="0041007B" w:rsidRPr="002D2915">
        <w:rPr>
          <w:rFonts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="0041007B" w:rsidRPr="002D2915">
        <w:rPr>
          <w:rFonts w:cs="Times New Roman"/>
          <w:i/>
          <w:iCs/>
          <w:sz w:val="24"/>
          <w:szCs w:val="24"/>
          <w:lang w:val="pl-PL"/>
        </w:rPr>
        <w:t>Doc</w:t>
      </w:r>
      <w:proofErr w:type="spellEnd"/>
      <w:r w:rsidR="0041007B" w:rsidRPr="002D2915">
        <w:rPr>
          <w:rFonts w:cs="Times New Roman"/>
          <w:i/>
          <w:iCs/>
          <w:sz w:val="24"/>
          <w:szCs w:val="24"/>
          <w:lang w:val="pl-PL"/>
        </w:rPr>
        <w:t xml:space="preserve"> 9981.</w:t>
      </w:r>
      <w:r w:rsidR="000914D3" w:rsidRPr="002D2915">
        <w:rPr>
          <w:rFonts w:cs="Times New Roman"/>
          <w:iCs/>
          <w:sz w:val="24"/>
          <w:szCs w:val="24"/>
          <w:lang w:val="pl-PL"/>
        </w:rPr>
        <w:t xml:space="preserve"> Podręcznik ten nie został wprowadzony przez ICAO jako obowiązkowa norma</w:t>
      </w:r>
      <w:r w:rsidR="00C822B1" w:rsidRPr="002D2915">
        <w:rPr>
          <w:rFonts w:cs="Times New Roman"/>
          <w:iCs/>
          <w:sz w:val="24"/>
          <w:szCs w:val="24"/>
          <w:lang w:val="pl-PL"/>
        </w:rPr>
        <w:t xml:space="preserve"> (Rozdział 1, podrozdział 1.7)</w:t>
      </w:r>
      <w:r w:rsidR="000914D3" w:rsidRPr="002D2915">
        <w:rPr>
          <w:rFonts w:cs="Times New Roman"/>
          <w:iCs/>
          <w:sz w:val="24"/>
          <w:szCs w:val="24"/>
          <w:lang w:val="pl-PL"/>
        </w:rPr>
        <w:t xml:space="preserve"> dlatego będzie traktowany</w:t>
      </w:r>
      <w:r w:rsidR="00C822B1" w:rsidRPr="002D2915">
        <w:rPr>
          <w:rFonts w:cs="Times New Roman"/>
          <w:iCs/>
          <w:sz w:val="24"/>
          <w:szCs w:val="24"/>
          <w:lang w:val="pl-PL"/>
        </w:rPr>
        <w:t>,</w:t>
      </w:r>
      <w:r w:rsidR="000914D3" w:rsidRPr="002D2915">
        <w:rPr>
          <w:rFonts w:cs="Times New Roman"/>
          <w:iCs/>
          <w:sz w:val="24"/>
          <w:szCs w:val="24"/>
          <w:lang w:val="pl-PL"/>
        </w:rPr>
        <w:t xml:space="preserve"> jako materiał informacyjny z</w:t>
      </w:r>
      <w:r w:rsidR="00C822B1" w:rsidRPr="002D2915">
        <w:rPr>
          <w:rFonts w:cs="Times New Roman"/>
          <w:iCs/>
          <w:sz w:val="24"/>
          <w:szCs w:val="24"/>
          <w:lang w:val="pl-PL"/>
        </w:rPr>
        <w:t>a</w:t>
      </w:r>
      <w:r w:rsidR="000914D3" w:rsidRPr="002D2915">
        <w:rPr>
          <w:rFonts w:cs="Times New Roman"/>
          <w:iCs/>
          <w:sz w:val="24"/>
          <w:szCs w:val="24"/>
          <w:lang w:val="pl-PL"/>
        </w:rPr>
        <w:t>lecany do stosowania na lotniskach.</w:t>
      </w:r>
    </w:p>
    <w:p w:rsidR="00E86AC6" w:rsidRPr="002D2915" w:rsidRDefault="00E86AC6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>Zmian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>a</w:t>
      </w:r>
      <w:r w:rsidRPr="002D2915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r w:rsidR="003A19A8" w:rsidRPr="002D2915">
        <w:rPr>
          <w:rFonts w:cs="Times New Roman"/>
          <w:spacing w:val="-2"/>
          <w:sz w:val="24"/>
          <w:szCs w:val="24"/>
          <w:lang w:val="pl-PL"/>
        </w:rPr>
        <w:t>wymagań dla lotnisk dla śmigłowców</w:t>
      </w:r>
      <w:r w:rsidR="003A19A8">
        <w:rPr>
          <w:rFonts w:cs="Times New Roman"/>
          <w:spacing w:val="-2"/>
          <w:sz w:val="24"/>
          <w:szCs w:val="24"/>
          <w:lang w:val="pl-PL"/>
        </w:rPr>
        <w:t xml:space="preserve"> wynika ze zmiany </w:t>
      </w:r>
      <w:r w:rsidRPr="002D2915">
        <w:rPr>
          <w:rFonts w:eastAsia="Times New Roman" w:cs="Times New Roman"/>
          <w:sz w:val="24"/>
          <w:szCs w:val="24"/>
          <w:lang w:val="pl-PL" w:eastAsia="pl-PL"/>
        </w:rPr>
        <w:t>nr 5</w:t>
      </w:r>
      <w:r w:rsidR="00325935" w:rsidRPr="002D2915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r w:rsidRPr="002D2915">
        <w:rPr>
          <w:rFonts w:cs="Times New Roman"/>
          <w:spacing w:val="-2"/>
          <w:sz w:val="24"/>
          <w:szCs w:val="24"/>
          <w:lang w:val="pl-PL"/>
        </w:rPr>
        <w:t>do Załącznika 14 Tom I</w:t>
      </w:r>
      <w:r w:rsidR="00325935" w:rsidRPr="002D2915">
        <w:rPr>
          <w:rFonts w:cs="Times New Roman"/>
          <w:spacing w:val="-2"/>
          <w:sz w:val="24"/>
          <w:szCs w:val="24"/>
          <w:lang w:val="pl-PL"/>
        </w:rPr>
        <w:t>I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3A19A8">
        <w:rPr>
          <w:rFonts w:cs="Times New Roman"/>
          <w:spacing w:val="-2"/>
          <w:sz w:val="24"/>
          <w:szCs w:val="24"/>
          <w:lang w:val="pl-PL"/>
        </w:rPr>
        <w:t>i obejmuje przede wszystkim  następujące kwestie:</w:t>
      </w:r>
    </w:p>
    <w:p w:rsidR="00325935" w:rsidRPr="002D2915" w:rsidRDefault="004D4C62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w </w:t>
      </w:r>
      <w:r w:rsidR="00325935" w:rsidRPr="002D2915">
        <w:rPr>
          <w:rFonts w:cs="Times New Roman"/>
          <w:spacing w:val="-2"/>
          <w:sz w:val="24"/>
          <w:szCs w:val="24"/>
          <w:lang w:val="pl-PL"/>
        </w:rPr>
        <w:t>rozdziale 1 zmieniono definicje: trasy kołowania śmigłowca, lotniska dla śmigłowców na platformie, wysokości lotniska dla śmigłowców, klasyfikacji spójności danych lotniczych, podejście typu “punkt w przestrzeni”, drogi startowej typu FATO i lotniska dla śmigłowców na powierzchni płaskiej</w:t>
      </w:r>
      <w:r w:rsidR="003A19A8">
        <w:rPr>
          <w:rFonts w:cs="Times New Roman"/>
          <w:spacing w:val="-2"/>
          <w:sz w:val="24"/>
          <w:szCs w:val="24"/>
          <w:lang w:val="pl-PL"/>
        </w:rPr>
        <w:t>,</w:t>
      </w:r>
    </w:p>
    <w:p w:rsidR="00CA2CB0" w:rsidRPr="002D2915" w:rsidRDefault="004D4C62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jakość 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>i spójność danych lotniczych, charakterystyki fizyczne lotniska dla śmigłowców na platformie i na jednostce pływającej</w:t>
      </w:r>
      <w:r w:rsidR="003A19A8">
        <w:rPr>
          <w:rFonts w:cs="Times New Roman"/>
          <w:spacing w:val="-2"/>
          <w:sz w:val="24"/>
          <w:szCs w:val="24"/>
          <w:lang w:val="pl-PL"/>
        </w:rPr>
        <w:t>,</w:t>
      </w:r>
    </w:p>
    <w:p w:rsidR="00CA2CB0" w:rsidRPr="002D2915" w:rsidRDefault="004D4C62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środowisko 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>przeszkód lotniczych, w tym wymagania dotyczące powierzchni ograniczających przeszkody oraz dla obszarów i sektorów</w:t>
      </w:r>
      <w:r w:rsidR="003A19A8">
        <w:rPr>
          <w:rFonts w:cs="Times New Roman"/>
          <w:spacing w:val="-2"/>
          <w:sz w:val="24"/>
          <w:szCs w:val="24"/>
          <w:lang w:val="pl-PL"/>
        </w:rPr>
        <w:t>,</w:t>
      </w:r>
    </w:p>
    <w:p w:rsidR="00CA2CB0" w:rsidRPr="002D2915" w:rsidRDefault="004D4C62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pomoce 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>wzrokowe, w tym: oznakowanie obszaru pracy wyciągarki, oznakowanie identyfikacyjne lotniska dla śmigłowców, oznakowanie maksymalnej dopuszczalnej masy, oznakowanie wartości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>-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> 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 xml:space="preserve">D, oznakowanie wymiarów FATO, oznakowanie i oznaczniki obwodu FATO dla lotnisk dla śmigłowców na powierzchni płaskiej, oznakowanie punktu celowania, oznakowanie punktu przyziemienia/postoju, oznakowanie nazwy lotniska dla śmigłowców, oznakowanie sektora wolnego od przeszkód na lotnisku dla śmigłowców na platformie </w:t>
      </w:r>
      <w:r w:rsidR="00CA2CB0" w:rsidRPr="002D2915">
        <w:rPr>
          <w:rFonts w:cs="Times New Roman"/>
          <w:i/>
          <w:spacing w:val="-2"/>
          <w:sz w:val="24"/>
          <w:szCs w:val="24"/>
          <w:lang w:val="pl-PL"/>
        </w:rPr>
        <w:t>(</w:t>
      </w:r>
      <w:proofErr w:type="spellStart"/>
      <w:r w:rsidR="00CA2CB0" w:rsidRPr="002D2915">
        <w:rPr>
          <w:rFonts w:cs="Times New Roman"/>
          <w:i/>
          <w:spacing w:val="-2"/>
          <w:sz w:val="24"/>
          <w:szCs w:val="24"/>
          <w:lang w:val="pl-PL"/>
        </w:rPr>
        <w:t>chevron</w:t>
      </w:r>
      <w:proofErr w:type="spellEnd"/>
      <w:r w:rsidR="00CA2CB0" w:rsidRPr="002D2915">
        <w:rPr>
          <w:rFonts w:cs="Times New Roman"/>
          <w:i/>
          <w:spacing w:val="-2"/>
          <w:sz w:val="24"/>
          <w:szCs w:val="24"/>
          <w:lang w:val="pl-PL"/>
        </w:rPr>
        <w:t>)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>, oznakowanie nawierzchni lotniska dla śmigłowców na platformie i na jednostce pływającej, oznakowanie sektora</w:t>
      </w:r>
      <w:r w:rsidR="00C62133" w:rsidRPr="002D2915">
        <w:rPr>
          <w:rFonts w:cs="Times New Roman"/>
          <w:spacing w:val="-2"/>
          <w:sz w:val="24"/>
          <w:szCs w:val="24"/>
          <w:lang w:val="pl-PL"/>
        </w:rPr>
        <w:t>,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 xml:space="preserve"> na którym nie wolno lądować na lotniska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 xml:space="preserve">ch na platformie, oznakowanie i 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>oznaczniki dróg kołowania śmi</w:t>
      </w:r>
      <w:r w:rsidR="00C62133" w:rsidRPr="002D2915">
        <w:rPr>
          <w:rFonts w:cs="Times New Roman"/>
          <w:spacing w:val="-2"/>
          <w:sz w:val="24"/>
          <w:szCs w:val="24"/>
          <w:lang w:val="pl-PL"/>
        </w:rPr>
        <w:t>głowców po ziemi, oznakowanie i 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>oznaczn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>iki dróg kołowania śmigłowców w 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 xml:space="preserve">powietrzu, oznakowanie stanowisk postojowych dla śmigłowców, wzrokowy wskaźnik ścieżki podejścia, </w:t>
      </w:r>
    </w:p>
    <w:p w:rsidR="00CA2CB0" w:rsidRPr="002D2915" w:rsidRDefault="004D4C62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 xml:space="preserve">wprowadzono 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 xml:space="preserve">Dodatek 2 „Międzynarodowe normy i zalecane metody postępowania dla przyrządowych lotnisk dla śmigłowców z podejściem nieprecyzyjnym </w:t>
      </w:r>
      <w:r w:rsidR="007A3BD6" w:rsidRPr="002D2915">
        <w:rPr>
          <w:rFonts w:cs="Times New Roman"/>
          <w:spacing w:val="-2"/>
          <w:sz w:val="24"/>
          <w:szCs w:val="24"/>
          <w:lang w:val="pl-PL"/>
        </w:rPr>
        <w:t>i/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 xml:space="preserve">lub precyzyjnym </w:t>
      </w:r>
      <w:r w:rsidR="006D1719" w:rsidRPr="002D2915">
        <w:rPr>
          <w:rFonts w:cs="Times New Roman"/>
          <w:spacing w:val="-2"/>
          <w:sz w:val="24"/>
          <w:szCs w:val="24"/>
          <w:lang w:val="pl-PL"/>
        </w:rPr>
        <w:t>i </w:t>
      </w:r>
      <w:r w:rsidR="00CA2CB0" w:rsidRPr="002D2915">
        <w:rPr>
          <w:rFonts w:cs="Times New Roman"/>
          <w:spacing w:val="-2"/>
          <w:sz w:val="24"/>
          <w:szCs w:val="24"/>
          <w:lang w:val="pl-PL"/>
        </w:rPr>
        <w:t>odlotami według wskazań przyrządów”.</w:t>
      </w:r>
    </w:p>
    <w:p w:rsidR="00D465B4" w:rsidRDefault="00D465B4" w:rsidP="00D465B4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Z</w:t>
      </w:r>
      <w:r w:rsidR="004D4C62" w:rsidRPr="00D465B4">
        <w:rPr>
          <w:rFonts w:cs="Times New Roman"/>
          <w:spacing w:val="-2"/>
          <w:sz w:val="24"/>
          <w:szCs w:val="24"/>
          <w:lang w:val="pl-PL"/>
        </w:rPr>
        <w:t>miana</w:t>
      </w:r>
      <w:r w:rsidR="004D4C62" w:rsidRPr="002D2915">
        <w:rPr>
          <w:rFonts w:cs="Times New Roman"/>
          <w:sz w:val="24"/>
          <w:szCs w:val="24"/>
          <w:lang w:val="pl-PL"/>
        </w:rPr>
        <w:t xml:space="preserve"> </w:t>
      </w:r>
      <w:r w:rsidR="0075798D" w:rsidRPr="002D2915">
        <w:rPr>
          <w:rFonts w:cs="Times New Roman"/>
          <w:sz w:val="24"/>
          <w:szCs w:val="24"/>
          <w:lang w:val="pl-PL"/>
        </w:rPr>
        <w:t>nr 6 do Załącznika 14, Tom II</w:t>
      </w:r>
      <w:r w:rsidR="00CA2CB0" w:rsidRPr="002D2915">
        <w:rPr>
          <w:rFonts w:cs="Times New Roman"/>
          <w:sz w:val="24"/>
          <w:szCs w:val="24"/>
          <w:lang w:val="pl-PL"/>
        </w:rPr>
        <w:t xml:space="preserve"> poprawia </w:t>
      </w:r>
      <w:r w:rsidR="00651209" w:rsidRPr="002D2915">
        <w:rPr>
          <w:rFonts w:cs="Times New Roman"/>
          <w:sz w:val="24"/>
          <w:szCs w:val="24"/>
          <w:lang w:val="pl-PL"/>
        </w:rPr>
        <w:t>definicję dotyczącą pu</w:t>
      </w:r>
      <w:r w:rsidR="0075798D" w:rsidRPr="002D2915">
        <w:rPr>
          <w:rFonts w:cs="Times New Roman"/>
          <w:sz w:val="24"/>
          <w:szCs w:val="24"/>
          <w:lang w:val="pl-PL"/>
        </w:rPr>
        <w:t xml:space="preserve">nktu referencyjnego lotniska dla śmigłowców </w:t>
      </w:r>
      <w:r w:rsidR="00945EA7" w:rsidRPr="002D2915">
        <w:rPr>
          <w:rFonts w:cs="Times New Roman"/>
          <w:sz w:val="24"/>
          <w:szCs w:val="24"/>
          <w:lang w:val="pl-PL"/>
        </w:rPr>
        <w:t>i</w:t>
      </w:r>
      <w:r w:rsidR="0075798D" w:rsidRPr="002D2915">
        <w:rPr>
          <w:rFonts w:cs="Times New Roman"/>
          <w:sz w:val="24"/>
          <w:szCs w:val="24"/>
          <w:lang w:val="pl-PL"/>
        </w:rPr>
        <w:t xml:space="preserve"> miejsca lądowania</w:t>
      </w:r>
      <w:r w:rsidR="00CA2CB0" w:rsidRPr="002D2915">
        <w:rPr>
          <w:rFonts w:cs="Times New Roman"/>
          <w:sz w:val="24"/>
          <w:szCs w:val="24"/>
          <w:lang w:val="pl-PL"/>
        </w:rPr>
        <w:t xml:space="preserve"> oraz</w:t>
      </w:r>
      <w:r w:rsidR="0075798D" w:rsidRPr="002D2915">
        <w:rPr>
          <w:rFonts w:cs="Times New Roman"/>
          <w:sz w:val="24"/>
          <w:szCs w:val="24"/>
          <w:lang w:val="pl-PL"/>
        </w:rPr>
        <w:t xml:space="preserve"> </w:t>
      </w:r>
      <w:r w:rsidR="00CA2CB0" w:rsidRPr="002D2915">
        <w:rPr>
          <w:rFonts w:cs="Times New Roman"/>
          <w:sz w:val="24"/>
          <w:szCs w:val="24"/>
          <w:lang w:val="pl-PL"/>
        </w:rPr>
        <w:t xml:space="preserve">wymagania dotyczące </w:t>
      </w:r>
      <w:r w:rsidR="0075798D" w:rsidRPr="002D2915">
        <w:rPr>
          <w:rFonts w:cs="Times New Roman"/>
          <w:sz w:val="24"/>
          <w:szCs w:val="24"/>
          <w:lang w:val="pl-PL"/>
        </w:rPr>
        <w:t>dan</w:t>
      </w:r>
      <w:r w:rsidR="00CA2CB0" w:rsidRPr="002D2915">
        <w:rPr>
          <w:rFonts w:cs="Times New Roman"/>
          <w:sz w:val="24"/>
          <w:szCs w:val="24"/>
          <w:lang w:val="pl-PL"/>
        </w:rPr>
        <w:t>ych lotniczych</w:t>
      </w:r>
      <w:r w:rsidR="0075798D" w:rsidRPr="002D2915">
        <w:rPr>
          <w:rFonts w:cs="Times New Roman"/>
          <w:sz w:val="24"/>
          <w:szCs w:val="24"/>
          <w:lang w:val="pl-PL"/>
        </w:rPr>
        <w:t xml:space="preserve"> lotniska dla śmigłowców, </w:t>
      </w:r>
      <w:r w:rsidR="00CA2CB0" w:rsidRPr="002D2915">
        <w:rPr>
          <w:rFonts w:cs="Times New Roman"/>
          <w:sz w:val="24"/>
          <w:szCs w:val="24"/>
          <w:lang w:val="pl-PL"/>
        </w:rPr>
        <w:t xml:space="preserve">a także </w:t>
      </w:r>
      <w:r w:rsidR="007A3BD6" w:rsidRPr="002D2915">
        <w:rPr>
          <w:rFonts w:cs="Times New Roman"/>
          <w:sz w:val="24"/>
          <w:szCs w:val="24"/>
          <w:lang w:val="pl-PL"/>
        </w:rPr>
        <w:t xml:space="preserve">znacznej mierze zmienia „Wymagania dotyczące jakości danych lotniczych” zawarte w </w:t>
      </w:r>
      <w:r w:rsidR="00C62133" w:rsidRPr="002D2915">
        <w:rPr>
          <w:rFonts w:cs="Times New Roman"/>
          <w:sz w:val="24"/>
          <w:szCs w:val="24"/>
          <w:lang w:val="pl-PL"/>
        </w:rPr>
        <w:t>Dodatk</w:t>
      </w:r>
      <w:r w:rsidR="007A3BD6" w:rsidRPr="002D2915">
        <w:rPr>
          <w:rFonts w:cs="Times New Roman"/>
          <w:sz w:val="24"/>
          <w:szCs w:val="24"/>
          <w:lang w:val="pl-PL"/>
        </w:rPr>
        <w:t>u</w:t>
      </w:r>
      <w:r w:rsidR="00C62133" w:rsidRPr="002D2915">
        <w:rPr>
          <w:rFonts w:cs="Times New Roman"/>
          <w:sz w:val="24"/>
          <w:szCs w:val="24"/>
          <w:lang w:val="pl-PL"/>
        </w:rPr>
        <w:t> </w:t>
      </w:r>
      <w:r w:rsidR="00D06766" w:rsidRPr="002D2915">
        <w:rPr>
          <w:rFonts w:cs="Times New Roman"/>
          <w:sz w:val="24"/>
          <w:szCs w:val="24"/>
          <w:lang w:val="pl-PL"/>
        </w:rPr>
        <w:t>1</w:t>
      </w:r>
      <w:r w:rsidR="003A19A8">
        <w:rPr>
          <w:rFonts w:cs="Times New Roman"/>
          <w:sz w:val="24"/>
          <w:szCs w:val="24"/>
          <w:lang w:val="pl-PL"/>
        </w:rPr>
        <w:t>.</w:t>
      </w:r>
    </w:p>
    <w:p w:rsidR="005210DA" w:rsidRPr="00557B41" w:rsidRDefault="00245CE4" w:rsidP="005210DA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 w:rsidRPr="00557B41">
        <w:rPr>
          <w:rFonts w:cs="Times New Roman"/>
          <w:spacing w:val="-2"/>
          <w:sz w:val="24"/>
          <w:szCs w:val="24"/>
          <w:lang w:val="pl-PL"/>
        </w:rPr>
        <w:t>Oprócz ww. zmian związanych z wymaganiami ICAO, w projekcie wprowadzono niżej wymienione zmiany merytoryczne dotyczące eksploatacji lotnisk.</w:t>
      </w:r>
    </w:p>
    <w:p w:rsidR="008823BB" w:rsidRPr="00557B41" w:rsidRDefault="008823BB" w:rsidP="005210DA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 w:rsidRPr="00557B41">
        <w:rPr>
          <w:rFonts w:cs="Times New Roman"/>
          <w:spacing w:val="-2"/>
          <w:sz w:val="24"/>
          <w:szCs w:val="24"/>
          <w:lang w:val="pl-PL"/>
        </w:rPr>
        <w:lastRenderedPageBreak/>
        <w:t xml:space="preserve">W § 17 dodano przepisy, </w:t>
      </w:r>
      <w:r w:rsidR="00A84B9F" w:rsidRPr="00557B41">
        <w:rPr>
          <w:rFonts w:cs="Times New Roman"/>
          <w:spacing w:val="-2"/>
          <w:sz w:val="24"/>
          <w:szCs w:val="24"/>
          <w:lang w:val="pl-PL"/>
        </w:rPr>
        <w:t>określające sposób wyznaczania długości deklarowanych dla dróg startowych na lotniskach dla samolotów z drogą startową bez nawierzchni sztucznej.</w:t>
      </w:r>
    </w:p>
    <w:p w:rsidR="005210DA" w:rsidRPr="00557B41" w:rsidRDefault="00245CE4" w:rsidP="005210DA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 w:rsidRPr="00557B41">
        <w:rPr>
          <w:rFonts w:cs="Times New Roman"/>
          <w:sz w:val="24"/>
          <w:szCs w:val="24"/>
          <w:lang w:val="pl-PL"/>
        </w:rPr>
        <w:t>W § 20 ust. 1 pkt 3 zwiększono dopuszczane nachylenie podłużne drogi startowej z 15% na 18 % dla lotnisk położonych w obszarach górskich, które nie są wykorzystywane do lotów handlowych. Zmiana ta wynika z odmiennych warunków eksploatacji lotnisk z drogą startową bez nawierzchni sztucznej, położonych</w:t>
      </w:r>
      <w:r w:rsidRPr="00557B41">
        <w:rPr>
          <w:sz w:val="24"/>
          <w:szCs w:val="24"/>
          <w:lang w:val="pl-PL"/>
        </w:rPr>
        <w:t xml:space="preserve"> </w:t>
      </w:r>
      <w:r w:rsidRPr="00557B41">
        <w:rPr>
          <w:rFonts w:cs="Times New Roman"/>
          <w:sz w:val="24"/>
          <w:szCs w:val="24"/>
          <w:lang w:val="pl-PL"/>
        </w:rPr>
        <w:t xml:space="preserve">w obszarach górskich, pod warunkiem podstawowego ich wykorzystywania jedynie do lotów sportowych, rekreacyjnych lub szkoleniowych, w zakresie różnicy między najwyżej i najniżej położonymi punktami linii środkowej drogi startowej. Poprawiony </w:t>
      </w:r>
      <w:r w:rsidR="00557B41">
        <w:rPr>
          <w:rFonts w:cs="Times New Roman"/>
          <w:sz w:val="24"/>
          <w:szCs w:val="24"/>
          <w:lang w:val="pl-PL"/>
        </w:rPr>
        <w:t>prze</w:t>
      </w:r>
      <w:r w:rsidRPr="00557B41">
        <w:rPr>
          <w:rFonts w:cs="Times New Roman"/>
          <w:sz w:val="24"/>
          <w:szCs w:val="24"/>
          <w:lang w:val="pl-PL"/>
        </w:rPr>
        <w:t>pis urzeczywistnia aktualnie już istniejące warunki spadku podłużnego drogi startowej dla specyficznych, wskazan</w:t>
      </w:r>
      <w:r w:rsidR="00557B41">
        <w:rPr>
          <w:rFonts w:cs="Times New Roman"/>
          <w:sz w:val="24"/>
          <w:szCs w:val="24"/>
          <w:lang w:val="pl-PL"/>
        </w:rPr>
        <w:t>ego</w:t>
      </w:r>
      <w:r w:rsidRPr="00557B41">
        <w:rPr>
          <w:rFonts w:cs="Times New Roman"/>
          <w:sz w:val="24"/>
          <w:szCs w:val="24"/>
          <w:lang w:val="pl-PL"/>
        </w:rPr>
        <w:t xml:space="preserve"> powyżej rodzaju lotnisk.</w:t>
      </w:r>
    </w:p>
    <w:p w:rsidR="00A84B9F" w:rsidRPr="00557B41" w:rsidRDefault="00245CE4" w:rsidP="00A84B9F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 w:rsidRPr="00557B41">
        <w:rPr>
          <w:rFonts w:cs="Times New Roman"/>
          <w:sz w:val="24"/>
          <w:szCs w:val="24"/>
          <w:lang w:val="pl-PL"/>
        </w:rPr>
        <w:t xml:space="preserve">W § 27 oraz w załączniku </w:t>
      </w:r>
      <w:r w:rsidR="008823BB" w:rsidRPr="00557B41">
        <w:rPr>
          <w:rFonts w:cs="Times New Roman"/>
          <w:sz w:val="24"/>
          <w:szCs w:val="24"/>
          <w:lang w:val="pl-PL"/>
        </w:rPr>
        <w:t>2</w:t>
      </w:r>
      <w:r w:rsidRPr="00557B41">
        <w:rPr>
          <w:rFonts w:cs="Times New Roman"/>
          <w:sz w:val="24"/>
          <w:szCs w:val="24"/>
          <w:lang w:val="pl-PL"/>
        </w:rPr>
        <w:t>, dodano przepisy, które precyzują wymogi stosowania wskaźnika kierunku wiatru na lotniskach z drogą star</w:t>
      </w:r>
      <w:r w:rsidR="00A84B9F" w:rsidRPr="00557B41">
        <w:rPr>
          <w:rFonts w:cs="Times New Roman"/>
          <w:sz w:val="24"/>
          <w:szCs w:val="24"/>
          <w:lang w:val="pl-PL"/>
        </w:rPr>
        <w:t>tową bez nawierzchni sztucznej.</w:t>
      </w:r>
    </w:p>
    <w:p w:rsidR="00A76D4D" w:rsidRPr="00557B41" w:rsidRDefault="00557B41" w:rsidP="00A76D4D">
      <w:pPr>
        <w:widowControl/>
        <w:tabs>
          <w:tab w:val="left" w:pos="4575"/>
        </w:tabs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>
        <w:rPr>
          <w:rFonts w:cs="Times New Roman"/>
          <w:spacing w:val="-2"/>
          <w:sz w:val="24"/>
          <w:szCs w:val="24"/>
          <w:lang w:val="pl-PL"/>
        </w:rPr>
        <w:t xml:space="preserve">Ponadto </w:t>
      </w:r>
      <w:r w:rsidR="00A76D4D" w:rsidRPr="00557B41">
        <w:rPr>
          <w:rFonts w:cs="Times New Roman"/>
          <w:spacing w:val="-2"/>
          <w:sz w:val="24"/>
          <w:szCs w:val="24"/>
          <w:lang w:val="pl-PL"/>
        </w:rPr>
        <w:t>zmieniono strukturę rozporządzenia, w tym usunięto rozdział drugi, zmieniono kolejność rozdziałów oraz poprawiono brzmienie niektórych przepisów, mając na uwadze zapewnienie większej przejrzystości i spójności projektowanych przepisów.</w:t>
      </w:r>
    </w:p>
    <w:p w:rsidR="003C20B1" w:rsidRPr="002D2915" w:rsidRDefault="003C20B1" w:rsidP="00004B76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cs="Times New Roman"/>
          <w:b/>
          <w:sz w:val="24"/>
          <w:szCs w:val="24"/>
          <w:lang w:val="pl-PL"/>
        </w:rPr>
      </w:pPr>
      <w:r w:rsidRPr="002D2915">
        <w:rPr>
          <w:rFonts w:cs="Times New Roman"/>
          <w:b/>
          <w:sz w:val="24"/>
          <w:szCs w:val="24"/>
          <w:lang w:val="pl-PL"/>
        </w:rPr>
        <w:t>Zakres regulacji.</w:t>
      </w:r>
    </w:p>
    <w:p w:rsidR="00E6503A" w:rsidRPr="002D2915" w:rsidRDefault="00B14403" w:rsidP="003C20B1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>W</w:t>
      </w:r>
      <w:r w:rsidR="00E6503A" w:rsidRPr="002D2915">
        <w:rPr>
          <w:rFonts w:cs="Times New Roman"/>
          <w:spacing w:val="-2"/>
          <w:sz w:val="24"/>
          <w:szCs w:val="24"/>
          <w:lang w:val="pl-PL"/>
        </w:rPr>
        <w:t>ymagania</w:t>
      </w:r>
      <w:r w:rsidR="00E6503A" w:rsidRPr="002D2915">
        <w:rPr>
          <w:rFonts w:cs="Times New Roman"/>
          <w:sz w:val="24"/>
          <w:szCs w:val="24"/>
          <w:lang w:val="pl-PL"/>
        </w:rPr>
        <w:t xml:space="preserve"> dla lotnisk użytku </w:t>
      </w:r>
      <w:r w:rsidRPr="002D2915">
        <w:rPr>
          <w:rFonts w:cs="Times New Roman"/>
          <w:sz w:val="24"/>
          <w:szCs w:val="24"/>
          <w:lang w:val="pl-PL"/>
        </w:rPr>
        <w:t>wyłącznego powinny</w:t>
      </w:r>
      <w:r w:rsidR="00E6503A" w:rsidRPr="002D2915">
        <w:rPr>
          <w:rFonts w:cs="Times New Roman"/>
          <w:sz w:val="24"/>
          <w:szCs w:val="24"/>
          <w:lang w:val="pl-PL"/>
        </w:rPr>
        <w:t xml:space="preserve"> być uzależnione od typu i charakterystyk lotniska oraz rodzaju ruchu lotniczego</w:t>
      </w:r>
      <w:r w:rsidR="003C20B1" w:rsidRPr="002D2915">
        <w:rPr>
          <w:rFonts w:cs="Times New Roman"/>
          <w:sz w:val="24"/>
          <w:szCs w:val="24"/>
          <w:lang w:val="pl-PL"/>
        </w:rPr>
        <w:t>. P</w:t>
      </w:r>
      <w:r w:rsidR="00E6503A" w:rsidRPr="002D2915">
        <w:rPr>
          <w:rFonts w:cs="Times New Roman"/>
          <w:sz w:val="24"/>
          <w:szCs w:val="24"/>
          <w:lang w:val="pl-PL"/>
        </w:rPr>
        <w:t>rojekt rozporządzenia określa osobno wymagania dla lotnisk posiadających drogę startową o nawierzchni sztucznej</w:t>
      </w:r>
      <w:r w:rsidR="003C20B1" w:rsidRPr="002D2915">
        <w:rPr>
          <w:rFonts w:cs="Times New Roman"/>
          <w:sz w:val="24"/>
          <w:szCs w:val="24"/>
          <w:lang w:val="pl-PL"/>
        </w:rPr>
        <w:t xml:space="preserve"> i </w:t>
      </w:r>
      <w:r w:rsidR="00E6503A" w:rsidRPr="002D2915">
        <w:rPr>
          <w:rFonts w:cs="Times New Roman"/>
          <w:sz w:val="24"/>
          <w:szCs w:val="24"/>
          <w:lang w:val="pl-PL"/>
        </w:rPr>
        <w:t xml:space="preserve">lotnisk </w:t>
      </w:r>
      <w:r w:rsidR="003C20B1" w:rsidRPr="002D2915">
        <w:rPr>
          <w:rFonts w:cs="Times New Roman"/>
          <w:sz w:val="24"/>
          <w:szCs w:val="24"/>
          <w:lang w:val="pl-PL"/>
        </w:rPr>
        <w:t xml:space="preserve">z drogą startową </w:t>
      </w:r>
      <w:r w:rsidR="00E6503A" w:rsidRPr="002D2915">
        <w:rPr>
          <w:rFonts w:cs="Times New Roman"/>
          <w:sz w:val="24"/>
          <w:szCs w:val="24"/>
          <w:lang w:val="pl-PL"/>
        </w:rPr>
        <w:t xml:space="preserve">bez nawierzchni sztucznej </w:t>
      </w:r>
      <w:r w:rsidR="003C20B1" w:rsidRPr="002D2915">
        <w:rPr>
          <w:rFonts w:cs="Times New Roman"/>
          <w:sz w:val="24"/>
          <w:szCs w:val="24"/>
          <w:lang w:val="pl-PL"/>
        </w:rPr>
        <w:t xml:space="preserve">(o nawierzchni naturalnej) </w:t>
      </w:r>
      <w:r w:rsidR="00E6503A" w:rsidRPr="002D2915">
        <w:rPr>
          <w:rFonts w:cs="Times New Roman"/>
          <w:sz w:val="24"/>
          <w:szCs w:val="24"/>
          <w:lang w:val="pl-PL"/>
        </w:rPr>
        <w:t xml:space="preserve">oraz lotnisk dla śmigłowców. Ze względu na rodzaj wykonywania operacji lotniczych rozróżniono wymagania dla lotnisk eksploatowanych tylko w dzień oraz dla lotnisk wykorzystywanych także </w:t>
      </w:r>
      <w:r w:rsidR="003C20B1" w:rsidRPr="002D2915">
        <w:rPr>
          <w:rFonts w:cs="Times New Roman"/>
          <w:sz w:val="24"/>
          <w:szCs w:val="24"/>
          <w:lang w:val="pl-PL"/>
        </w:rPr>
        <w:t>w nocy. Z</w:t>
      </w:r>
      <w:r w:rsidR="00E6503A" w:rsidRPr="002D2915">
        <w:rPr>
          <w:rFonts w:cs="Times New Roman"/>
          <w:sz w:val="24"/>
          <w:szCs w:val="24"/>
          <w:lang w:val="pl-PL"/>
        </w:rPr>
        <w:t xml:space="preserve">astosowano </w:t>
      </w:r>
      <w:r w:rsidR="003C20B1" w:rsidRPr="002D2915">
        <w:rPr>
          <w:rFonts w:cs="Times New Roman"/>
          <w:sz w:val="24"/>
          <w:szCs w:val="24"/>
          <w:lang w:val="pl-PL"/>
        </w:rPr>
        <w:t xml:space="preserve">dodatkowe </w:t>
      </w:r>
      <w:r w:rsidR="00E6503A" w:rsidRPr="002D2915">
        <w:rPr>
          <w:rFonts w:cs="Times New Roman"/>
          <w:sz w:val="24"/>
          <w:szCs w:val="24"/>
          <w:lang w:val="pl-PL"/>
        </w:rPr>
        <w:t xml:space="preserve">wymagania dla lotnisk, </w:t>
      </w:r>
      <w:r w:rsidR="003C20B1" w:rsidRPr="002D2915">
        <w:rPr>
          <w:rFonts w:cs="Times New Roman"/>
          <w:sz w:val="24"/>
          <w:szCs w:val="24"/>
          <w:lang w:val="pl-PL"/>
        </w:rPr>
        <w:t xml:space="preserve">na </w:t>
      </w:r>
      <w:r w:rsidR="00E6503A" w:rsidRPr="002D2915">
        <w:rPr>
          <w:rFonts w:cs="Times New Roman"/>
          <w:sz w:val="24"/>
          <w:szCs w:val="24"/>
          <w:lang w:val="pl-PL"/>
        </w:rPr>
        <w:t>których wykonywane są loty handlowe.</w:t>
      </w:r>
      <w:r w:rsidR="003C20B1" w:rsidRPr="002D2915">
        <w:rPr>
          <w:rFonts w:cs="Times New Roman"/>
          <w:sz w:val="24"/>
          <w:szCs w:val="24"/>
          <w:lang w:val="pl-PL"/>
        </w:rPr>
        <w:t xml:space="preserve"> </w:t>
      </w:r>
      <w:r w:rsidR="00E6503A" w:rsidRPr="002D2915">
        <w:rPr>
          <w:rFonts w:cs="Times New Roman"/>
          <w:sz w:val="24"/>
          <w:szCs w:val="24"/>
          <w:lang w:val="pl-PL"/>
        </w:rPr>
        <w:t xml:space="preserve">Projektując przedmiotowe rozporządzenie zastosowano jednocześnie wyłączenia tych przepisów, które zdaniem projektodawcy nie są niezbędne na lotniskach użytku </w:t>
      </w:r>
      <w:r w:rsidRPr="002D2915">
        <w:rPr>
          <w:rFonts w:cs="Times New Roman"/>
          <w:sz w:val="24"/>
          <w:szCs w:val="24"/>
          <w:lang w:val="pl-PL"/>
        </w:rPr>
        <w:t>wyłącznego</w:t>
      </w:r>
      <w:r w:rsidR="00E6503A" w:rsidRPr="002D2915">
        <w:rPr>
          <w:rFonts w:cs="Times New Roman"/>
          <w:sz w:val="24"/>
          <w:szCs w:val="24"/>
          <w:lang w:val="pl-PL"/>
        </w:rPr>
        <w:t xml:space="preserve">, a ich stosowanie mogłoby pociągnąć za sobą niewspółmierne koszty. Jednocześnie należy zwrócić uwagę, że projektowane rozporządzenie posługuje się technicznym podziałem lotnisk ze względu na kod referencyjny i tym samym wiele wymagań jest uzależnionych od tego kodu. </w:t>
      </w:r>
    </w:p>
    <w:p w:rsidR="00CC08A8" w:rsidRPr="002D2915" w:rsidRDefault="00CC08A8" w:rsidP="00CC08A8">
      <w:pPr>
        <w:widowControl/>
        <w:spacing w:after="60" w:line="264" w:lineRule="auto"/>
        <w:ind w:left="567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sz w:val="24"/>
          <w:szCs w:val="24"/>
          <w:lang w:val="pl-PL"/>
        </w:rPr>
        <w:t xml:space="preserve">Projekt rozporządzenia został podzielony na </w:t>
      </w:r>
      <w:r w:rsidR="000326CD" w:rsidRPr="002D2915">
        <w:rPr>
          <w:rFonts w:cs="Times New Roman"/>
          <w:sz w:val="24"/>
          <w:szCs w:val="24"/>
          <w:lang w:val="pl-PL"/>
        </w:rPr>
        <w:t>sześć</w:t>
      </w:r>
      <w:r w:rsidRPr="002D2915">
        <w:rPr>
          <w:rFonts w:cs="Times New Roman"/>
          <w:sz w:val="24"/>
          <w:szCs w:val="24"/>
          <w:lang w:val="pl-PL"/>
        </w:rPr>
        <w:t xml:space="preserve"> rozdziałów określających odpowiednio:</w:t>
      </w:r>
    </w:p>
    <w:p w:rsidR="00CC08A8" w:rsidRPr="002D2915" w:rsidRDefault="00CC08A8" w:rsidP="00CC08A8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60" w:line="264" w:lineRule="auto"/>
        <w:ind w:left="1134" w:hanging="425"/>
        <w:contextualSpacing w:val="0"/>
        <w:rPr>
          <w:rFonts w:cs="Times New Roman"/>
          <w:sz w:val="24"/>
          <w:szCs w:val="24"/>
        </w:rPr>
      </w:pPr>
      <w:r w:rsidRPr="002D2915">
        <w:rPr>
          <w:rFonts w:cs="Times New Roman"/>
          <w:sz w:val="24"/>
          <w:szCs w:val="24"/>
          <w:lang w:val="pl-PL"/>
        </w:rPr>
        <w:t>przepisy</w:t>
      </w:r>
      <w:r w:rsidRPr="002D2915">
        <w:rPr>
          <w:rFonts w:cs="Times New Roman"/>
          <w:sz w:val="24"/>
          <w:szCs w:val="24"/>
        </w:rPr>
        <w:t xml:space="preserve"> </w:t>
      </w:r>
      <w:r w:rsidRPr="002D2915">
        <w:rPr>
          <w:rFonts w:cs="Times New Roman"/>
          <w:sz w:val="24"/>
          <w:szCs w:val="24"/>
          <w:lang w:val="pl-PL"/>
        </w:rPr>
        <w:t>ogólne</w:t>
      </w:r>
      <w:r w:rsidRPr="002D2915">
        <w:rPr>
          <w:rFonts w:cs="Times New Roman"/>
          <w:sz w:val="24"/>
          <w:szCs w:val="24"/>
        </w:rPr>
        <w:t>;</w:t>
      </w:r>
    </w:p>
    <w:p w:rsidR="00CC08A8" w:rsidRPr="002D2915" w:rsidRDefault="00CC08A8" w:rsidP="00CC08A8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60" w:line="264" w:lineRule="auto"/>
        <w:ind w:left="1134" w:hanging="425"/>
        <w:contextualSpacing w:val="0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sz w:val="24"/>
          <w:szCs w:val="24"/>
          <w:lang w:val="pl-PL"/>
        </w:rPr>
        <w:t>wymagania dla lotnisk dla samolotów z drogą startową o nawierzchni sztucznej;</w:t>
      </w:r>
    </w:p>
    <w:p w:rsidR="00CC08A8" w:rsidRPr="002D2915" w:rsidRDefault="00CC08A8" w:rsidP="00CC08A8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60" w:line="264" w:lineRule="auto"/>
        <w:ind w:left="1134" w:hanging="425"/>
        <w:contextualSpacing w:val="0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sz w:val="24"/>
          <w:szCs w:val="24"/>
          <w:lang w:val="pl-PL"/>
        </w:rPr>
        <w:t>wymagania dla lotnisk dla samolotów z drogą startową bez nawierzchni sztucznej;</w:t>
      </w:r>
    </w:p>
    <w:p w:rsidR="00CC08A8" w:rsidRPr="002D2915" w:rsidRDefault="00CC08A8" w:rsidP="00CC08A8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60" w:line="264" w:lineRule="auto"/>
        <w:ind w:left="1134" w:hanging="425"/>
        <w:contextualSpacing w:val="0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sz w:val="24"/>
          <w:szCs w:val="24"/>
          <w:lang w:val="pl-PL"/>
        </w:rPr>
        <w:t>wymagania dla lotnisk dla śmigłowców;</w:t>
      </w:r>
    </w:p>
    <w:p w:rsidR="000326CD" w:rsidRPr="002D2915" w:rsidRDefault="000326CD" w:rsidP="000326CD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60" w:line="264" w:lineRule="auto"/>
        <w:ind w:left="1134" w:hanging="425"/>
        <w:contextualSpacing w:val="0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sz w:val="24"/>
          <w:szCs w:val="24"/>
          <w:lang w:val="pl-PL"/>
        </w:rPr>
        <w:t>sposób i tryb przeprowadzania kontroli sprawdzającej;</w:t>
      </w:r>
    </w:p>
    <w:p w:rsidR="00CC08A8" w:rsidRPr="002D2915" w:rsidRDefault="00CC08A8" w:rsidP="00CC08A8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20" w:line="264" w:lineRule="auto"/>
        <w:ind w:left="1134" w:hanging="425"/>
        <w:contextualSpacing w:val="0"/>
        <w:rPr>
          <w:rFonts w:cs="Times New Roman"/>
          <w:sz w:val="24"/>
          <w:szCs w:val="24"/>
        </w:rPr>
      </w:pPr>
      <w:r w:rsidRPr="00C26585">
        <w:rPr>
          <w:rFonts w:cs="Times New Roman"/>
          <w:sz w:val="24"/>
          <w:szCs w:val="24"/>
          <w:lang w:val="pl-PL"/>
        </w:rPr>
        <w:t>przepisy przejściowe i końcowe</w:t>
      </w:r>
      <w:r w:rsidRPr="002D2915">
        <w:rPr>
          <w:rFonts w:cs="Times New Roman"/>
          <w:sz w:val="24"/>
          <w:szCs w:val="24"/>
        </w:rPr>
        <w:t>.</w:t>
      </w:r>
    </w:p>
    <w:p w:rsidR="00CC08A8" w:rsidRPr="002D2915" w:rsidRDefault="00CC08A8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b/>
          <w:sz w:val="24"/>
          <w:szCs w:val="24"/>
          <w:lang w:val="pl-PL"/>
        </w:rPr>
        <w:t>Rozdział 1</w:t>
      </w:r>
      <w:r w:rsidRPr="002D2915">
        <w:rPr>
          <w:rFonts w:cs="Times New Roman"/>
          <w:sz w:val="24"/>
          <w:szCs w:val="24"/>
          <w:lang w:val="pl-PL"/>
        </w:rPr>
        <w:t xml:space="preserve"> określa zakres regulacji i wyjaśnienie pojęć używanych na potrzeby niniejszego rozporządzenia.</w:t>
      </w:r>
    </w:p>
    <w:p w:rsidR="00CC08A8" w:rsidRPr="002D2915" w:rsidRDefault="00CC08A8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b/>
          <w:sz w:val="24"/>
          <w:szCs w:val="24"/>
          <w:lang w:val="pl-PL"/>
        </w:rPr>
        <w:t>Rozdział 2</w:t>
      </w:r>
      <w:r w:rsidRPr="002D2915">
        <w:rPr>
          <w:rFonts w:cs="Times New Roman"/>
          <w:sz w:val="24"/>
          <w:szCs w:val="24"/>
          <w:lang w:val="pl-PL"/>
        </w:rPr>
        <w:t xml:space="preserve"> określa wymagania techniczne i eksploatacyjne dla lotnisk dla samolotów z drogą startową o nawierzchni sztucznej.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lastRenderedPageBreak/>
        <w:t xml:space="preserve">Przepis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 xml:space="preserve"> 4 wskazuje normy i zalecane metody postępowania oraz wskazówki merytoryczne  Załącznika 14 Tom I mające zastosowania do lotnisk dla samolotów z drogą startową o nawierzchni sztucznej. Mając na uwadze charakter operacji lotniczych na lotniskach użytku wyłącznego, wymagania dla tych lotnisk zostały złagodzone poprzez wyłączenie lub ograniczenie stosowania niektórych norm i zaleceń Załącznika 14.  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 xml:space="preserve"> 5 ust. 1 określa wymagania dla płyt postojowych, płaszczyzn zawracania, stanowisk odladzania, dróg kołowania oraz stanowiska do odladzania o nawierzchni sztucznej, jeśli występują one na lotnisku dla samolotów z drogą startową o nawierzchni sztucznej.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Przepisy </w:t>
      </w:r>
      <w:r w:rsidRPr="00C26585">
        <w:rPr>
          <w:rFonts w:cs="Times New Roman"/>
          <w:sz w:val="24"/>
          <w:szCs w:val="24"/>
          <w:lang w:val="pl-PL"/>
        </w:rPr>
        <w:t>§</w:t>
      </w:r>
      <w:r w:rsidR="005210DA">
        <w:rPr>
          <w:rFonts w:cs="Times New Roman"/>
          <w:sz w:val="24"/>
          <w:szCs w:val="24"/>
          <w:lang w:val="pl-PL"/>
        </w:rPr>
        <w:t> </w:t>
      </w:r>
      <w:r>
        <w:rPr>
          <w:rFonts w:cs="Times New Roman"/>
          <w:sz w:val="24"/>
          <w:szCs w:val="24"/>
          <w:lang w:val="pl-PL"/>
        </w:rPr>
        <w:t>6–11 uszczegóławiają zakres i sposób realizacji wybranych wymagań dla lotnisk dla samolotów z drogą startową o nawierzchni sztucznej, wynikające z Załącznika 14 Tom I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b/>
          <w:sz w:val="24"/>
          <w:szCs w:val="24"/>
          <w:lang w:val="pl-PL"/>
        </w:rPr>
        <w:t xml:space="preserve">Rozdział 3 </w:t>
      </w:r>
      <w:r>
        <w:rPr>
          <w:rFonts w:cs="Times New Roman"/>
          <w:sz w:val="24"/>
          <w:szCs w:val="24"/>
          <w:lang w:val="pl-PL"/>
        </w:rPr>
        <w:t>określa wymagania dla lotnisk dla samolotów z drogą startową bez nawierzchni sztucznej.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Przepisy </w:t>
      </w:r>
      <w:r w:rsidRPr="00C26585">
        <w:rPr>
          <w:rFonts w:cs="Times New Roman"/>
          <w:sz w:val="24"/>
          <w:szCs w:val="24"/>
          <w:lang w:val="pl-PL"/>
        </w:rPr>
        <w:t>§</w:t>
      </w:r>
      <w:r w:rsidR="005210DA">
        <w:rPr>
          <w:rFonts w:cs="Times New Roman"/>
          <w:sz w:val="24"/>
          <w:szCs w:val="24"/>
          <w:lang w:val="pl-PL"/>
        </w:rPr>
        <w:t> </w:t>
      </w:r>
      <w:r>
        <w:rPr>
          <w:rFonts w:cs="Times New Roman"/>
          <w:sz w:val="24"/>
          <w:szCs w:val="24"/>
          <w:lang w:val="pl-PL"/>
        </w:rPr>
        <w:t>12–23</w:t>
      </w:r>
      <w:r>
        <w:rPr>
          <w:rFonts w:cs="Times New Roman"/>
          <w:b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>określają podstawowe zasady projektowania lotniska dla samolotów z drogą startową bez nawierzchni sztucznej, które mają kluczowe znaczenie dla bezpiecznego</w:t>
      </w:r>
      <w:r w:rsidR="00CC08A8" w:rsidRPr="002D2915">
        <w:rPr>
          <w:rFonts w:cs="Times New Roman"/>
          <w:sz w:val="24"/>
          <w:szCs w:val="24"/>
          <w:lang w:val="pl-PL"/>
        </w:rPr>
        <w:t xml:space="preserve"> wykonywania operacji lotniczych. Wymagania te dotyczą w szczególności</w:t>
      </w:r>
      <w:r w:rsidR="000326CD" w:rsidRPr="002D2915">
        <w:rPr>
          <w:rFonts w:cs="Times New Roman"/>
          <w:sz w:val="24"/>
          <w:szCs w:val="24"/>
          <w:lang w:val="pl-PL"/>
        </w:rPr>
        <w:t xml:space="preserve">: wyznaczania dróg startowych, </w:t>
      </w:r>
      <w:r w:rsidR="00CC08A8" w:rsidRPr="002D2915">
        <w:rPr>
          <w:rFonts w:cs="Times New Roman"/>
          <w:sz w:val="24"/>
          <w:szCs w:val="24"/>
          <w:lang w:val="pl-PL"/>
        </w:rPr>
        <w:t xml:space="preserve">określania ich długości i szerokości, kształtu i wymiarów pola wzlotów, kodu referencyjnego lotniska, dopuszczalnego nachylenia podłużnego i poprzecznego drogi </w:t>
      </w:r>
      <w:r>
        <w:rPr>
          <w:rFonts w:cs="Times New Roman"/>
          <w:sz w:val="24"/>
          <w:szCs w:val="24"/>
          <w:lang w:val="pl-PL"/>
        </w:rPr>
        <w:t>startowej oraz jego zmiany oraz wytrzymałości nawierzchni pola wzlotów.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24–26 określa zasady stosowania oznaczników pola wzlotów, w tym dróg startowych i dróg kołowania.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27 (oraz załącznik nr 2) określa wymagania dla wskaźnika kierunku wiatru.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28 określa wymagania dla zabezpieczenia pola wzlotów.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29 określa wymagania dla lotnisk dla samolotów z drogą startową bez nawierzchni sztucznej użytkowanych w nocy, w tym świateł drogi startowej i dróg kołowania.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30 określa wymagania dotyczące systemu zasilania elektroenergetycznego pomocy nawigacyjnych.</w:t>
      </w:r>
    </w:p>
    <w:p w:rsidR="00CC08A8" w:rsidRPr="002D2915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31 określa wymagania dotyczące ochrony lotniska przed nieuprawnionym wtargnięciem osób, pojazdów lub zwierząt.</w:t>
      </w:r>
    </w:p>
    <w:p w:rsidR="00CC08A8" w:rsidRPr="002D2915" w:rsidRDefault="00CC08A8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 w:rsidRPr="002D2915">
        <w:rPr>
          <w:rFonts w:cs="Times New Roman"/>
          <w:b/>
          <w:sz w:val="24"/>
          <w:szCs w:val="24"/>
          <w:lang w:val="pl-PL"/>
        </w:rPr>
        <w:t>Rozdział 4</w:t>
      </w:r>
      <w:r w:rsidRPr="002D2915">
        <w:rPr>
          <w:rFonts w:cs="Times New Roman"/>
          <w:sz w:val="24"/>
          <w:szCs w:val="24"/>
          <w:lang w:val="pl-PL"/>
        </w:rPr>
        <w:t xml:space="preserve"> projektu określa wymagania techniczne i eksploatacyjne dla lotnisk </w:t>
      </w:r>
      <w:r w:rsidR="000326CD" w:rsidRPr="002D2915">
        <w:rPr>
          <w:rFonts w:cs="Times New Roman"/>
          <w:sz w:val="24"/>
          <w:szCs w:val="24"/>
          <w:lang w:val="pl-PL"/>
        </w:rPr>
        <w:t xml:space="preserve">użytku wyłącznego </w:t>
      </w:r>
      <w:r w:rsidRPr="002D2915">
        <w:rPr>
          <w:rFonts w:cs="Times New Roman"/>
          <w:sz w:val="24"/>
          <w:szCs w:val="24"/>
          <w:lang w:val="pl-PL"/>
        </w:rPr>
        <w:t>dla śmigłowców</w:t>
      </w:r>
      <w:r w:rsidR="000326CD" w:rsidRPr="002D2915">
        <w:rPr>
          <w:rFonts w:cs="Times New Roman"/>
          <w:sz w:val="24"/>
          <w:szCs w:val="24"/>
          <w:lang w:val="pl-PL"/>
        </w:rPr>
        <w:t>.</w:t>
      </w:r>
    </w:p>
    <w:p w:rsidR="00CC08A8" w:rsidRPr="005210DA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Przepisy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32 wskazują normy i zalecane metody postępowania Załącznika 14 Tom II, mające zastosowanie do lotnisk dla śmigłowców w Polsce.</w:t>
      </w:r>
    </w:p>
    <w:p w:rsidR="00CC08A8" w:rsidRPr="002D2915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eastAsia="Calibri"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Przepisy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33</w:t>
      </w:r>
      <w:r>
        <w:rPr>
          <w:rFonts w:cs="Times New Roman"/>
          <w:sz w:val="24"/>
          <w:szCs w:val="24"/>
          <w:lang w:val="pl-PL"/>
        </w:rPr>
        <w:sym w:font="Symbol" w:char="F02D"/>
      </w:r>
      <w:r>
        <w:rPr>
          <w:rFonts w:cs="Times New Roman"/>
          <w:sz w:val="24"/>
          <w:szCs w:val="24"/>
          <w:lang w:val="pl-PL"/>
        </w:rPr>
        <w:t xml:space="preserve">38 uszczegółowiają lub uzupełniają wymagania o których mowa w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32 w</w:t>
      </w:r>
      <w:r w:rsidR="00CC08A8" w:rsidRPr="002D2915">
        <w:rPr>
          <w:rFonts w:cs="Times New Roman"/>
          <w:sz w:val="24"/>
          <w:szCs w:val="24"/>
          <w:lang w:val="pl-PL"/>
        </w:rPr>
        <w:t xml:space="preserve"> zakresie nawierzchni lotniska, długości deklarowanych, </w:t>
      </w:r>
      <w:r w:rsidR="00CC08A8" w:rsidRPr="002D2915">
        <w:rPr>
          <w:rFonts w:eastAsia="Calibri" w:cs="Times New Roman"/>
          <w:sz w:val="24"/>
          <w:szCs w:val="24"/>
          <w:lang w:val="pl-PL"/>
        </w:rPr>
        <w:t xml:space="preserve">strefy podejścia końcowego i startu (FATO), strefy przyziemienia </w:t>
      </w:r>
      <w:r w:rsidR="00CC08A8" w:rsidRPr="002D2915">
        <w:rPr>
          <w:rFonts w:cs="Times New Roman"/>
          <w:bCs/>
          <w:sz w:val="24"/>
          <w:szCs w:val="24"/>
          <w:lang w:val="pl-PL"/>
        </w:rPr>
        <w:t>i wznoszenia (</w:t>
      </w:r>
      <w:r w:rsidR="00CC08A8" w:rsidRPr="002D2915">
        <w:rPr>
          <w:rFonts w:eastAsia="Calibri" w:cs="Times New Roman"/>
          <w:sz w:val="24"/>
          <w:szCs w:val="24"/>
          <w:lang w:val="pl-PL"/>
        </w:rPr>
        <w:t xml:space="preserve">TLOF), </w:t>
      </w:r>
      <w:r w:rsidR="00CC08A8" w:rsidRPr="002D2915">
        <w:rPr>
          <w:rFonts w:cs="Times New Roman"/>
          <w:sz w:val="24"/>
          <w:szCs w:val="24"/>
          <w:lang w:val="pl-PL"/>
        </w:rPr>
        <w:t xml:space="preserve">powierzchni zabezpieczenia przeszkodowego oraz </w:t>
      </w:r>
      <w:r w:rsidR="00CC08A8" w:rsidRPr="002D2915">
        <w:rPr>
          <w:rFonts w:eastAsia="Calibri" w:cs="Times New Roman"/>
          <w:sz w:val="24"/>
          <w:szCs w:val="24"/>
          <w:lang w:val="pl-PL"/>
        </w:rPr>
        <w:t>zabezpieczenia lotniska przed wtargnięciem nieuprawnionych osób, pojazdów lub zwierząt mogących stanowić zagrożenie dla statków powietrznych.</w:t>
      </w:r>
    </w:p>
    <w:p w:rsidR="000326CD" w:rsidRPr="005210DA" w:rsidRDefault="000326CD" w:rsidP="000326C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b/>
          <w:sz w:val="24"/>
          <w:szCs w:val="24"/>
          <w:lang w:val="pl-PL"/>
        </w:rPr>
      </w:pPr>
      <w:r w:rsidRPr="002D2915">
        <w:rPr>
          <w:rFonts w:cs="Times New Roman"/>
          <w:b/>
          <w:sz w:val="24"/>
          <w:szCs w:val="24"/>
          <w:lang w:val="pl-PL"/>
        </w:rPr>
        <w:t>Rozdział 5</w:t>
      </w:r>
      <w:r w:rsidRPr="002D2915">
        <w:rPr>
          <w:rFonts w:cs="Times New Roman"/>
          <w:sz w:val="24"/>
          <w:szCs w:val="24"/>
          <w:lang w:val="pl-PL"/>
        </w:rPr>
        <w:t xml:space="preserve"> projektu, określ</w:t>
      </w:r>
      <w:r w:rsidRPr="002D2915">
        <w:rPr>
          <w:rFonts w:cs="Times New Roman"/>
          <w:bCs/>
          <w:sz w:val="24"/>
          <w:szCs w:val="24"/>
          <w:lang w:val="pl-PL"/>
        </w:rPr>
        <w:t xml:space="preserve">a sposób i tryb przeprowadzania kontroli sprawdzającej, zgodnie </w:t>
      </w:r>
      <w:r w:rsidR="00245CE4">
        <w:rPr>
          <w:rFonts w:cs="Times New Roman"/>
          <w:bCs/>
          <w:sz w:val="24"/>
          <w:szCs w:val="24"/>
          <w:lang w:val="pl-PL"/>
        </w:rPr>
        <w:t>z delegacją ustawową.</w:t>
      </w:r>
    </w:p>
    <w:p w:rsidR="005A439E" w:rsidRPr="005210DA" w:rsidRDefault="00245CE4" w:rsidP="005A439E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b/>
          <w:sz w:val="24"/>
          <w:szCs w:val="24"/>
          <w:lang w:val="pl-PL"/>
        </w:rPr>
        <w:t>Rozdział 6</w:t>
      </w:r>
      <w:r>
        <w:rPr>
          <w:rFonts w:cs="Times New Roman"/>
          <w:sz w:val="24"/>
          <w:szCs w:val="24"/>
          <w:lang w:val="pl-PL"/>
        </w:rPr>
        <w:t xml:space="preserve"> projektu określa przepisy przejściowe i końcowe. </w:t>
      </w:r>
    </w:p>
    <w:p w:rsidR="00CC08A8" w:rsidRPr="005210DA" w:rsidRDefault="00245CE4" w:rsidP="005A439E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lastRenderedPageBreak/>
        <w:t xml:space="preserve">W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43 dodano przepis przejściowy określający, że do postępowań  sprawach postępowań o wpis do rejestru lotnisk, wszczętych a niezakończonych przed dniem wejścia w życie niniejszego rozporządzenia. Rozwiązanie takie wydaje się właściwe, ze względu na zakres merytoryczny zmian w niniejszym projekcie rozporządzenia.</w:t>
      </w:r>
    </w:p>
    <w:p w:rsidR="00CC08A8" w:rsidRPr="002D2915" w:rsidRDefault="00245CE4" w:rsidP="00CC08A8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Przepis </w:t>
      </w:r>
      <w:r w:rsidRPr="00C26585">
        <w:rPr>
          <w:rFonts w:cs="Times New Roman"/>
          <w:sz w:val="24"/>
          <w:szCs w:val="24"/>
          <w:lang w:val="pl-PL"/>
        </w:rPr>
        <w:t>§</w:t>
      </w:r>
      <w:r>
        <w:rPr>
          <w:rFonts w:cs="Times New Roman"/>
          <w:sz w:val="24"/>
          <w:szCs w:val="24"/>
          <w:lang w:val="pl-PL"/>
        </w:rPr>
        <w:t> 44 określa, że część wymagań dla lotnisk dla samolotów wynikających z Załącznika 14 Tom I, ma zastosowanie od dnia 1 stycznia 2018. Wymagania te dotyczą min. geometrii dróg startowych, dlatego też podobny okres dostosowawczy został zaproponowany w</w:t>
      </w:r>
      <w:r w:rsidR="00CC08A8" w:rsidRPr="002D2915">
        <w:rPr>
          <w:rFonts w:cs="Times New Roman"/>
          <w:sz w:val="24"/>
          <w:szCs w:val="24"/>
          <w:lang w:val="pl-PL"/>
        </w:rPr>
        <w:t xml:space="preserve"> projekcie rozporządzenia </w:t>
      </w:r>
      <w:r w:rsidR="00E75A25">
        <w:rPr>
          <w:rFonts w:cs="Times New Roman"/>
          <w:sz w:val="24"/>
          <w:szCs w:val="24"/>
          <w:lang w:val="pl-PL"/>
        </w:rPr>
        <w:t xml:space="preserve">Ministra Infrastruktury i Budownictwa </w:t>
      </w:r>
      <w:r w:rsidR="00CC08A8" w:rsidRPr="002D2915">
        <w:rPr>
          <w:rFonts w:cs="Times New Roman"/>
          <w:sz w:val="24"/>
          <w:szCs w:val="24"/>
          <w:lang w:val="pl-PL"/>
        </w:rPr>
        <w:t xml:space="preserve">w sprawie wymagań technicznych i eksploatacyjnych dla lotnisk użytku publicznego podlegających </w:t>
      </w:r>
      <w:r w:rsidR="00E75A25">
        <w:rPr>
          <w:rFonts w:cs="Times New Roman"/>
          <w:sz w:val="24"/>
          <w:szCs w:val="24"/>
          <w:lang w:val="pl-PL"/>
        </w:rPr>
        <w:t xml:space="preserve">obowiązkowi </w:t>
      </w:r>
      <w:r w:rsidR="00CC08A8" w:rsidRPr="002D2915">
        <w:rPr>
          <w:rFonts w:cs="Times New Roman"/>
          <w:sz w:val="24"/>
          <w:szCs w:val="24"/>
          <w:lang w:val="pl-PL"/>
        </w:rPr>
        <w:t>certyfikacji</w:t>
      </w:r>
      <w:r w:rsidR="00E75A25">
        <w:rPr>
          <w:rFonts w:cs="Times New Roman"/>
          <w:sz w:val="24"/>
          <w:szCs w:val="24"/>
          <w:lang w:val="pl-PL"/>
        </w:rPr>
        <w:t xml:space="preserve">, wydawanego na podstawie </w:t>
      </w:r>
      <w:r w:rsidR="00CC08A8" w:rsidRPr="002D2915">
        <w:rPr>
          <w:rFonts w:cs="Times New Roman"/>
          <w:sz w:val="24"/>
          <w:szCs w:val="24"/>
          <w:lang w:val="pl-PL"/>
        </w:rPr>
        <w:t xml:space="preserve"> art. 59a ust. 5 ustawy</w:t>
      </w:r>
      <w:r w:rsidR="00E75A25">
        <w:rPr>
          <w:rFonts w:cs="Times New Roman"/>
          <w:sz w:val="24"/>
          <w:szCs w:val="24"/>
          <w:lang w:val="pl-PL"/>
        </w:rPr>
        <w:t xml:space="preserve"> – Prawo lotnicze</w:t>
      </w:r>
      <w:r w:rsidR="00CC08A8" w:rsidRPr="002D2915">
        <w:rPr>
          <w:rFonts w:cs="Times New Roman"/>
          <w:sz w:val="24"/>
          <w:szCs w:val="24"/>
          <w:lang w:val="pl-PL"/>
        </w:rPr>
        <w:t xml:space="preserve">. W celu uniknięcia sytuacji, w której łagodniejsze wymagania obowiązywałyby dla lotnisk certyfikowanych niż dla lotnisk o </w:t>
      </w:r>
      <w:r w:rsidR="005A439E" w:rsidRPr="002D2915">
        <w:rPr>
          <w:rFonts w:cs="Times New Roman"/>
          <w:sz w:val="24"/>
          <w:szCs w:val="24"/>
          <w:lang w:val="pl-PL"/>
        </w:rPr>
        <w:t>użytku wyłącznego</w:t>
      </w:r>
      <w:r w:rsidR="00CC08A8" w:rsidRPr="002D2915">
        <w:rPr>
          <w:rFonts w:cs="Times New Roman"/>
          <w:sz w:val="24"/>
          <w:szCs w:val="24"/>
          <w:lang w:val="pl-PL"/>
        </w:rPr>
        <w:t>, zaproponowano analogiczny przepis przejściowy.</w:t>
      </w:r>
    </w:p>
    <w:p w:rsidR="00996BF6" w:rsidRPr="002D2915" w:rsidRDefault="00CF6C7B" w:rsidP="00F007F0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360" w:after="120" w:line="264" w:lineRule="auto"/>
        <w:ind w:left="567" w:hanging="567"/>
        <w:contextualSpacing w:val="0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P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>rzewidywan</w:t>
      </w: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e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skutk</w:t>
      </w: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i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prawn</w:t>
      </w: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e wejścia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w życie</w:t>
      </w: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rozporządzenia</w:t>
      </w:r>
      <w:r w:rsidR="002043F3" w:rsidRPr="002D2915">
        <w:rPr>
          <w:rFonts w:eastAsia="Times New Roman" w:cs="Times New Roman"/>
          <w:b/>
          <w:sz w:val="24"/>
          <w:szCs w:val="24"/>
          <w:lang w:val="pl-PL" w:eastAsia="pl-PL"/>
        </w:rPr>
        <w:t>.</w:t>
      </w:r>
    </w:p>
    <w:p w:rsidR="003C20B1" w:rsidRPr="002D2915" w:rsidRDefault="003C20B1" w:rsidP="003C20B1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pacing w:val="-2"/>
          <w:sz w:val="24"/>
          <w:szCs w:val="24"/>
          <w:lang w:val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>Wymagania Załącznika 14, wdrażane w niniejszym projekcie, są wynikiem długotrwałych prac zespołów i grup zadaniowych powołanych przez ICAO, opierają się na doświadczeniach lotniczych wielu krajów oraz branży lotniczej. Ich głównym celem jest umożliwienie stosowania na lotniskach nowych systemów (np. podejścia do lądowania), procedur i</w:t>
      </w:r>
      <w:r w:rsidR="005210DA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2D2915">
        <w:rPr>
          <w:rFonts w:cs="Times New Roman"/>
          <w:spacing w:val="-2"/>
          <w:sz w:val="24"/>
          <w:szCs w:val="24"/>
          <w:lang w:val="pl-PL"/>
        </w:rPr>
        <w:t>rozwiązań technicznych mających na celu zapewnienie ciągłości i efektywności oraz poprawę bezpieczeństwa operacji lotniczych. Nowe wymagania dla lotnisk zostaną wdrożone w tym rozporządzeniu w zakresie niezbędnym do zapewnienia bezpieczeństwa operacji lotniczych, z uwzględnieniem klasyfikacji lotnisk oraz rodzaju wykonywanych operacji.</w:t>
      </w:r>
    </w:p>
    <w:p w:rsidR="00996BF6" w:rsidRPr="002D2915" w:rsidRDefault="00CF6C7B" w:rsidP="008C59F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P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>rzeds</w:t>
      </w: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tawienie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projektu właściwym organom i instytucjom Unii Europejskiej, w tym Europejskiemu Bankowi Centralnemu, w</w:t>
      </w:r>
      <w:r w:rsidR="005210DA">
        <w:rPr>
          <w:rFonts w:eastAsia="Times New Roman" w:cs="Times New Roman"/>
          <w:b/>
          <w:sz w:val="24"/>
          <w:szCs w:val="24"/>
          <w:lang w:val="pl-PL" w:eastAsia="pl-PL"/>
        </w:rPr>
        <w:t xml:space="preserve"> 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>celu uzyskania opinii, dokonania powiadomienia, konsultacji albo uzgodnienia, jeżeli obowiązek taki wynika z odrębnych przepisów.</w:t>
      </w:r>
    </w:p>
    <w:p w:rsidR="00996BF6" w:rsidRPr="002D2915" w:rsidRDefault="00585A5E" w:rsidP="003C20B1">
      <w:pPr>
        <w:widowControl/>
        <w:tabs>
          <w:tab w:val="left" w:pos="567"/>
        </w:tabs>
        <w:spacing w:after="120" w:line="264" w:lineRule="auto"/>
        <w:ind w:left="567"/>
        <w:rPr>
          <w:rFonts w:eastAsia="Times New Roman" w:cs="Times New Roman"/>
          <w:sz w:val="24"/>
          <w:szCs w:val="24"/>
          <w:lang w:val="pl-PL"/>
        </w:rPr>
      </w:pPr>
      <w:r w:rsidRPr="002D2915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2D2915">
        <w:rPr>
          <w:rFonts w:cs="Times New Roman"/>
          <w:spacing w:val="-2"/>
          <w:sz w:val="24"/>
          <w:szCs w:val="24"/>
          <w:lang w:val="pl-PL"/>
        </w:rPr>
        <w:t>dotyczy</w:t>
      </w:r>
      <w:r w:rsidR="007F5BF3" w:rsidRPr="002D2915">
        <w:rPr>
          <w:rFonts w:eastAsia="Times New Roman" w:cs="Times New Roman"/>
          <w:sz w:val="24"/>
          <w:szCs w:val="24"/>
          <w:lang w:val="pl-PL"/>
        </w:rPr>
        <w:t>.</w:t>
      </w:r>
    </w:p>
    <w:p w:rsidR="0001347D" w:rsidRPr="002D2915" w:rsidRDefault="00CF6C7B" w:rsidP="008C59F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O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>świadczenie organu wnioskującego</w:t>
      </w:r>
      <w:r w:rsidR="007F5BF3" w:rsidRPr="002D2915">
        <w:rPr>
          <w:rFonts w:eastAsia="Times New Roman" w:cs="Times New Roman"/>
          <w:b/>
          <w:sz w:val="24"/>
          <w:szCs w:val="24"/>
          <w:lang w:val="pl-PL" w:eastAsia="pl-PL"/>
        </w:rPr>
        <w:t>,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co do zgodności projektu z prawem Unii Europejskiej: </w:t>
      </w:r>
    </w:p>
    <w:p w:rsidR="00996BF6" w:rsidRPr="002D2915" w:rsidRDefault="00996BF6" w:rsidP="008C59F7">
      <w:pPr>
        <w:widowControl/>
        <w:tabs>
          <w:tab w:val="left" w:pos="1134"/>
        </w:tabs>
        <w:spacing w:after="120" w:line="264" w:lineRule="auto"/>
        <w:ind w:left="567"/>
        <w:rPr>
          <w:rFonts w:eastAsia="Times New Roman" w:cs="Times New Roman"/>
          <w:sz w:val="24"/>
          <w:szCs w:val="24"/>
          <w:lang w:val="pl-PL"/>
        </w:rPr>
      </w:pPr>
      <w:r w:rsidRPr="002D2915">
        <w:rPr>
          <w:rFonts w:eastAsia="Times New Roman" w:cs="Times New Roman"/>
          <w:sz w:val="24"/>
          <w:szCs w:val="24"/>
          <w:lang w:val="pl-PL"/>
        </w:rPr>
        <w:t>Przedkładany projekt rozporządzenia jest zg</w:t>
      </w:r>
      <w:r w:rsidR="0001347D" w:rsidRPr="002D2915">
        <w:rPr>
          <w:rFonts w:eastAsia="Times New Roman" w:cs="Times New Roman"/>
          <w:sz w:val="24"/>
          <w:szCs w:val="24"/>
          <w:lang w:val="pl-PL"/>
        </w:rPr>
        <w:t>odny z prawem Unii Europejskiej.</w:t>
      </w:r>
    </w:p>
    <w:p w:rsidR="00CF6C7B" w:rsidRPr="002D2915" w:rsidRDefault="00CF6C7B" w:rsidP="008C59F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O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>cen</w:t>
      </w: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a</w:t>
      </w:r>
      <w:r w:rsidR="00996BF6" w:rsidRPr="002D2915">
        <w:rPr>
          <w:rFonts w:eastAsia="Times New Roman" w:cs="Times New Roman"/>
          <w:b/>
          <w:sz w:val="24"/>
          <w:szCs w:val="24"/>
          <w:lang w:val="pl-PL" w:eastAsia="pl-PL"/>
        </w:rPr>
        <w:t xml:space="preserve"> organu uprawnionego do opracowania projektu rozporządzenia, czy projekt ten podlega notyfikacji zgodnie z przepisami dotyczącymi funkcjonowania krajowego systemu notyfikacji norm i aktów prawnych</w:t>
      </w:r>
      <w:r w:rsidRPr="002D2915">
        <w:rPr>
          <w:rFonts w:eastAsia="Times New Roman" w:cs="Times New Roman"/>
          <w:b/>
          <w:sz w:val="24"/>
          <w:szCs w:val="24"/>
          <w:lang w:val="pl-PL" w:eastAsia="pl-PL"/>
        </w:rPr>
        <w:t>.</w:t>
      </w:r>
    </w:p>
    <w:p w:rsidR="00E75A25" w:rsidRDefault="003C20B1" w:rsidP="006661CB">
      <w:pPr>
        <w:widowControl/>
        <w:tabs>
          <w:tab w:val="left" w:pos="567"/>
        </w:tabs>
        <w:spacing w:after="120" w:line="264" w:lineRule="auto"/>
        <w:ind w:left="567"/>
        <w:rPr>
          <w:rFonts w:eastAsia="Times New Roman" w:cs="Times New Roman"/>
          <w:b/>
          <w:bCs/>
          <w:sz w:val="24"/>
          <w:szCs w:val="24"/>
          <w:lang w:val="pl-PL" w:eastAsia="pl-PL"/>
        </w:rPr>
      </w:pPr>
      <w:r w:rsidRPr="002D2915">
        <w:rPr>
          <w:rFonts w:cs="Times New Roman"/>
          <w:spacing w:val="-2"/>
          <w:sz w:val="24"/>
          <w:szCs w:val="24"/>
          <w:lang w:val="pl-PL"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</w:t>
      </w:r>
      <w:r w:rsidR="00820EC6">
        <w:rPr>
          <w:rFonts w:cs="Times New Roman"/>
          <w:spacing w:val="-2"/>
          <w:sz w:val="24"/>
          <w:szCs w:val="24"/>
          <w:lang w:val="pl-PL"/>
        </w:rPr>
        <w:t>.</w:t>
      </w:r>
      <w:r w:rsidRPr="002D2915">
        <w:rPr>
          <w:rFonts w:cs="Times New Roman"/>
          <w:spacing w:val="-2"/>
          <w:sz w:val="24"/>
          <w:szCs w:val="24"/>
          <w:lang w:val="pl-PL"/>
        </w:rPr>
        <w:t xml:space="preserve"> poz. 2039, z </w:t>
      </w:r>
      <w:proofErr w:type="spellStart"/>
      <w:r w:rsidRPr="002D2915">
        <w:rPr>
          <w:rFonts w:cs="Times New Roman"/>
          <w:spacing w:val="-2"/>
          <w:sz w:val="24"/>
          <w:szCs w:val="24"/>
          <w:lang w:val="pl-PL"/>
        </w:rPr>
        <w:t>późn</w:t>
      </w:r>
      <w:proofErr w:type="spellEnd"/>
      <w:r w:rsidRPr="002D2915">
        <w:rPr>
          <w:rFonts w:cs="Times New Roman"/>
          <w:spacing w:val="-2"/>
          <w:sz w:val="24"/>
          <w:szCs w:val="24"/>
          <w:lang w:val="pl-PL"/>
        </w:rPr>
        <w:t>. zm.), zatem nie podlega ono notyfikacji.</w:t>
      </w:r>
    </w:p>
    <w:sectPr w:rsidR="00E75A25" w:rsidSect="003E644A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F4" w:rsidRDefault="007B67F4" w:rsidP="0051513F">
      <w:pPr>
        <w:spacing w:line="240" w:lineRule="auto"/>
      </w:pPr>
      <w:r>
        <w:separator/>
      </w:r>
    </w:p>
  </w:endnote>
  <w:endnote w:type="continuationSeparator" w:id="0">
    <w:p w:rsidR="007B67F4" w:rsidRDefault="007B67F4" w:rsidP="00515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8251"/>
      <w:docPartObj>
        <w:docPartGallery w:val="Page Numbers (Bottom of Page)"/>
        <w:docPartUnique/>
      </w:docPartObj>
    </w:sdtPr>
    <w:sdtEndPr/>
    <w:sdtContent>
      <w:sdt>
        <w:sdtPr>
          <w:id w:val="8955037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8955038"/>
              <w:docPartObj>
                <w:docPartGallery w:val="Page Numbers (Top of Page)"/>
                <w:docPartUnique/>
              </w:docPartObj>
            </w:sdtPr>
            <w:sdtEndPr/>
            <w:sdtContent>
              <w:p w:rsidR="003D63DF" w:rsidRDefault="003D63DF" w:rsidP="005D18DE">
                <w:pPr>
                  <w:pStyle w:val="Stopka"/>
                  <w:jc w:val="center"/>
                </w:pPr>
                <w:proofErr w:type="spellStart"/>
                <w:r>
                  <w:t>Strona</w:t>
                </w:r>
                <w:proofErr w:type="spellEnd"/>
                <w:r>
                  <w:t xml:space="preserve"> </w:t>
                </w:r>
                <w:r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>
                  <w:rPr>
                    <w:b/>
                    <w:szCs w:val="24"/>
                  </w:rPr>
                  <w:fldChar w:fldCharType="separate"/>
                </w:r>
                <w:r w:rsidR="005903DB">
                  <w:rPr>
                    <w:b/>
                    <w:noProof/>
                  </w:rPr>
                  <w:t>6</w:t>
                </w:r>
                <w:r>
                  <w:rPr>
                    <w:b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>
                  <w:rPr>
                    <w:b/>
                    <w:szCs w:val="24"/>
                  </w:rPr>
                  <w:fldChar w:fldCharType="separate"/>
                </w:r>
                <w:r w:rsidR="005903DB">
                  <w:rPr>
                    <w:b/>
                    <w:noProof/>
                  </w:rPr>
                  <w:t>6</w:t>
                </w:r>
                <w:r>
                  <w:rPr>
                    <w:b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03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D63DF" w:rsidRDefault="003D63DF" w:rsidP="005D18DE">
            <w:pPr>
              <w:pStyle w:val="Stopka"/>
              <w:jc w:val="center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5903DB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5903DB"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F4" w:rsidRDefault="007B67F4" w:rsidP="0051513F">
      <w:pPr>
        <w:spacing w:line="240" w:lineRule="auto"/>
      </w:pPr>
      <w:r>
        <w:separator/>
      </w:r>
    </w:p>
  </w:footnote>
  <w:footnote w:type="continuationSeparator" w:id="0">
    <w:p w:rsidR="007B67F4" w:rsidRDefault="007B67F4" w:rsidP="00515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DF" w:rsidRPr="003E644A" w:rsidRDefault="003D63D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320"/>
    <w:multiLevelType w:val="hybridMultilevel"/>
    <w:tmpl w:val="3EC8033E"/>
    <w:lvl w:ilvl="0" w:tplc="601A4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2662"/>
    <w:multiLevelType w:val="hybridMultilevel"/>
    <w:tmpl w:val="7292BD9E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12463447"/>
    <w:multiLevelType w:val="hybridMultilevel"/>
    <w:tmpl w:val="1AF6C5B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D67B2"/>
    <w:multiLevelType w:val="multilevel"/>
    <w:tmpl w:val="C3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22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32DEA"/>
    <w:multiLevelType w:val="hybridMultilevel"/>
    <w:tmpl w:val="6616ED36"/>
    <w:lvl w:ilvl="0" w:tplc="E26E144E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B6A5C10"/>
    <w:multiLevelType w:val="hybridMultilevel"/>
    <w:tmpl w:val="11761C38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>
    <w:nsid w:val="224A2604"/>
    <w:multiLevelType w:val="hybridMultilevel"/>
    <w:tmpl w:val="2AB6F188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7">
    <w:nsid w:val="29B84564"/>
    <w:multiLevelType w:val="hybridMultilevel"/>
    <w:tmpl w:val="330A8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26D52"/>
    <w:multiLevelType w:val="hybridMultilevel"/>
    <w:tmpl w:val="0696FCD4"/>
    <w:lvl w:ilvl="0" w:tplc="D7C2BF64">
      <w:start w:val="1"/>
      <w:numFmt w:val="decimal"/>
      <w:lvlText w:val="%1)"/>
      <w:lvlJc w:val="left"/>
      <w:pPr>
        <w:ind w:left="75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A5063"/>
    <w:multiLevelType w:val="hybridMultilevel"/>
    <w:tmpl w:val="6B8065D8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31151D41"/>
    <w:multiLevelType w:val="hybridMultilevel"/>
    <w:tmpl w:val="740ED738"/>
    <w:lvl w:ilvl="0" w:tplc="9CB418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4794D08"/>
    <w:multiLevelType w:val="hybridMultilevel"/>
    <w:tmpl w:val="84BE03F0"/>
    <w:lvl w:ilvl="0" w:tplc="7748A918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80A8D"/>
    <w:multiLevelType w:val="hybridMultilevel"/>
    <w:tmpl w:val="D46002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42DF3"/>
    <w:multiLevelType w:val="hybridMultilevel"/>
    <w:tmpl w:val="18D8903C"/>
    <w:lvl w:ilvl="0" w:tplc="AA3A27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2087A2D"/>
    <w:multiLevelType w:val="hybridMultilevel"/>
    <w:tmpl w:val="B5F4D0BA"/>
    <w:lvl w:ilvl="0" w:tplc="872AC36C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D631C"/>
    <w:multiLevelType w:val="hybridMultilevel"/>
    <w:tmpl w:val="F51CCCB6"/>
    <w:lvl w:ilvl="0" w:tplc="AA3A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9323A"/>
    <w:multiLevelType w:val="hybridMultilevel"/>
    <w:tmpl w:val="41B4176A"/>
    <w:lvl w:ilvl="0" w:tplc="04150011">
      <w:start w:val="1"/>
      <w:numFmt w:val="decimal"/>
      <w:lvlText w:val="%1)"/>
      <w:lvlJc w:val="left"/>
      <w:pPr>
        <w:ind w:left="1917" w:hanging="360"/>
      </w:p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8">
    <w:nsid w:val="564D1783"/>
    <w:multiLevelType w:val="hybridMultilevel"/>
    <w:tmpl w:val="785A9BB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AD04C1"/>
    <w:multiLevelType w:val="hybridMultilevel"/>
    <w:tmpl w:val="0D6E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75696"/>
    <w:multiLevelType w:val="hybridMultilevel"/>
    <w:tmpl w:val="0F267C5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A15BA9"/>
    <w:multiLevelType w:val="hybridMultilevel"/>
    <w:tmpl w:val="35F21310"/>
    <w:lvl w:ilvl="0" w:tplc="C3C63A6A">
      <w:start w:val="1"/>
      <w:numFmt w:val="decimal"/>
      <w:lvlText w:val="2.%1"/>
      <w:lvlJc w:val="left"/>
      <w:pPr>
        <w:tabs>
          <w:tab w:val="num" w:pos="1304"/>
        </w:tabs>
        <w:ind w:firstLine="397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6D1C2B"/>
    <w:multiLevelType w:val="hybridMultilevel"/>
    <w:tmpl w:val="CDE6A52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D200E9"/>
    <w:multiLevelType w:val="hybridMultilevel"/>
    <w:tmpl w:val="55D8975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0F94456"/>
    <w:multiLevelType w:val="hybridMultilevel"/>
    <w:tmpl w:val="D0249204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1CF5115"/>
    <w:multiLevelType w:val="hybridMultilevel"/>
    <w:tmpl w:val="D46002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D31A72"/>
    <w:multiLevelType w:val="hybridMultilevel"/>
    <w:tmpl w:val="9CDE8922"/>
    <w:lvl w:ilvl="0" w:tplc="13AAB88C">
      <w:start w:val="1"/>
      <w:numFmt w:val="bullet"/>
      <w:lvlText w:val="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EB66523"/>
    <w:multiLevelType w:val="hybridMultilevel"/>
    <w:tmpl w:val="544AF83A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5"/>
  </w:num>
  <w:num w:numId="5">
    <w:abstractNumId w:val="9"/>
  </w:num>
  <w:num w:numId="6">
    <w:abstractNumId w:val="24"/>
  </w:num>
  <w:num w:numId="7">
    <w:abstractNumId w:val="13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22"/>
  </w:num>
  <w:num w:numId="13">
    <w:abstractNumId w:val="7"/>
  </w:num>
  <w:num w:numId="14">
    <w:abstractNumId w:val="21"/>
  </w:num>
  <w:num w:numId="15">
    <w:abstractNumId w:val="16"/>
  </w:num>
  <w:num w:numId="16">
    <w:abstractNumId w:val="12"/>
  </w:num>
  <w:num w:numId="17">
    <w:abstractNumId w:val="18"/>
  </w:num>
  <w:num w:numId="18">
    <w:abstractNumId w:val="25"/>
  </w:num>
  <w:num w:numId="19">
    <w:abstractNumId w:val="14"/>
  </w:num>
  <w:num w:numId="20">
    <w:abstractNumId w:val="0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23"/>
  </w:num>
  <w:num w:numId="27">
    <w:abstractNumId w:val="6"/>
  </w:num>
  <w:num w:numId="28">
    <w:abstractNumId w:val="11"/>
  </w:num>
  <w:num w:numId="29">
    <w:abstractNumId w:val="10"/>
  </w:num>
  <w:num w:numId="3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6"/>
    <w:rsid w:val="00000C07"/>
    <w:rsid w:val="00004A38"/>
    <w:rsid w:val="00004B76"/>
    <w:rsid w:val="0001347D"/>
    <w:rsid w:val="00020B3E"/>
    <w:rsid w:val="00025861"/>
    <w:rsid w:val="000326CD"/>
    <w:rsid w:val="00040BDC"/>
    <w:rsid w:val="000476E3"/>
    <w:rsid w:val="0006093C"/>
    <w:rsid w:val="00062B08"/>
    <w:rsid w:val="00062B9F"/>
    <w:rsid w:val="00063333"/>
    <w:rsid w:val="00067A7A"/>
    <w:rsid w:val="00070C7E"/>
    <w:rsid w:val="00075B52"/>
    <w:rsid w:val="000850B0"/>
    <w:rsid w:val="00086D3E"/>
    <w:rsid w:val="000914D3"/>
    <w:rsid w:val="00093EA7"/>
    <w:rsid w:val="00095690"/>
    <w:rsid w:val="00097AB3"/>
    <w:rsid w:val="000A7F05"/>
    <w:rsid w:val="000B218A"/>
    <w:rsid w:val="000B6768"/>
    <w:rsid w:val="000C7B5F"/>
    <w:rsid w:val="000E0D3F"/>
    <w:rsid w:val="000F495B"/>
    <w:rsid w:val="00103601"/>
    <w:rsid w:val="001109B9"/>
    <w:rsid w:val="00112CA9"/>
    <w:rsid w:val="001208D0"/>
    <w:rsid w:val="00133919"/>
    <w:rsid w:val="001368C7"/>
    <w:rsid w:val="00166725"/>
    <w:rsid w:val="001761D7"/>
    <w:rsid w:val="00176309"/>
    <w:rsid w:val="001837BA"/>
    <w:rsid w:val="001837E6"/>
    <w:rsid w:val="001956B9"/>
    <w:rsid w:val="001B3900"/>
    <w:rsid w:val="001C1270"/>
    <w:rsid w:val="001C3FDF"/>
    <w:rsid w:val="001F515A"/>
    <w:rsid w:val="00203FFF"/>
    <w:rsid w:val="002043F3"/>
    <w:rsid w:val="00214310"/>
    <w:rsid w:val="00214F65"/>
    <w:rsid w:val="00216984"/>
    <w:rsid w:val="00220BEC"/>
    <w:rsid w:val="00222A06"/>
    <w:rsid w:val="002236AF"/>
    <w:rsid w:val="00235E42"/>
    <w:rsid w:val="00242F94"/>
    <w:rsid w:val="00243F03"/>
    <w:rsid w:val="00245CE4"/>
    <w:rsid w:val="00251186"/>
    <w:rsid w:val="002542D7"/>
    <w:rsid w:val="0026386D"/>
    <w:rsid w:val="00272726"/>
    <w:rsid w:val="002773C8"/>
    <w:rsid w:val="00280D18"/>
    <w:rsid w:val="00280E64"/>
    <w:rsid w:val="00291202"/>
    <w:rsid w:val="002941BF"/>
    <w:rsid w:val="002B2224"/>
    <w:rsid w:val="002C2FDB"/>
    <w:rsid w:val="002C3FB9"/>
    <w:rsid w:val="002D2915"/>
    <w:rsid w:val="002D5514"/>
    <w:rsid w:val="002D596A"/>
    <w:rsid w:val="002D657D"/>
    <w:rsid w:val="002E1B94"/>
    <w:rsid w:val="002E6A74"/>
    <w:rsid w:val="002E7B76"/>
    <w:rsid w:val="00301AC1"/>
    <w:rsid w:val="00317C20"/>
    <w:rsid w:val="00325935"/>
    <w:rsid w:val="00335C3A"/>
    <w:rsid w:val="003536E5"/>
    <w:rsid w:val="00360284"/>
    <w:rsid w:val="00361254"/>
    <w:rsid w:val="0038649C"/>
    <w:rsid w:val="003869A9"/>
    <w:rsid w:val="003967AE"/>
    <w:rsid w:val="003A071A"/>
    <w:rsid w:val="003A19A8"/>
    <w:rsid w:val="003A2F2D"/>
    <w:rsid w:val="003B2BCA"/>
    <w:rsid w:val="003B449E"/>
    <w:rsid w:val="003C20B1"/>
    <w:rsid w:val="003C7634"/>
    <w:rsid w:val="003D63DF"/>
    <w:rsid w:val="003D7431"/>
    <w:rsid w:val="003E2AE6"/>
    <w:rsid w:val="003E644A"/>
    <w:rsid w:val="003F19AD"/>
    <w:rsid w:val="003F6476"/>
    <w:rsid w:val="0040365B"/>
    <w:rsid w:val="0041007B"/>
    <w:rsid w:val="0041499A"/>
    <w:rsid w:val="00415079"/>
    <w:rsid w:val="00416D71"/>
    <w:rsid w:val="0042015A"/>
    <w:rsid w:val="0042250A"/>
    <w:rsid w:val="004271C1"/>
    <w:rsid w:val="004278E1"/>
    <w:rsid w:val="00430B36"/>
    <w:rsid w:val="00430B5D"/>
    <w:rsid w:val="00433FED"/>
    <w:rsid w:val="0044051B"/>
    <w:rsid w:val="0044086A"/>
    <w:rsid w:val="004717EB"/>
    <w:rsid w:val="0047405A"/>
    <w:rsid w:val="00474DB8"/>
    <w:rsid w:val="00491812"/>
    <w:rsid w:val="004941B7"/>
    <w:rsid w:val="00495521"/>
    <w:rsid w:val="004A6195"/>
    <w:rsid w:val="004B2FAC"/>
    <w:rsid w:val="004B3C0E"/>
    <w:rsid w:val="004C44BA"/>
    <w:rsid w:val="004C5CAE"/>
    <w:rsid w:val="004C79EE"/>
    <w:rsid w:val="004D4C62"/>
    <w:rsid w:val="004E1336"/>
    <w:rsid w:val="00511CD7"/>
    <w:rsid w:val="0051489D"/>
    <w:rsid w:val="0051513F"/>
    <w:rsid w:val="0051595B"/>
    <w:rsid w:val="005210DA"/>
    <w:rsid w:val="00535E3C"/>
    <w:rsid w:val="00547B75"/>
    <w:rsid w:val="00555E49"/>
    <w:rsid w:val="00557B41"/>
    <w:rsid w:val="00563F4D"/>
    <w:rsid w:val="00580780"/>
    <w:rsid w:val="00582780"/>
    <w:rsid w:val="00585A5E"/>
    <w:rsid w:val="005903DB"/>
    <w:rsid w:val="0059413C"/>
    <w:rsid w:val="005A13C8"/>
    <w:rsid w:val="005A2547"/>
    <w:rsid w:val="005A439E"/>
    <w:rsid w:val="005C31D1"/>
    <w:rsid w:val="005C553D"/>
    <w:rsid w:val="005C7EAB"/>
    <w:rsid w:val="005D18DE"/>
    <w:rsid w:val="005D31A2"/>
    <w:rsid w:val="005D4789"/>
    <w:rsid w:val="005D5CC5"/>
    <w:rsid w:val="005E1046"/>
    <w:rsid w:val="005E328A"/>
    <w:rsid w:val="005E5AD8"/>
    <w:rsid w:val="005E6E44"/>
    <w:rsid w:val="005E7648"/>
    <w:rsid w:val="005F71E6"/>
    <w:rsid w:val="00623B9E"/>
    <w:rsid w:val="00624F57"/>
    <w:rsid w:val="00626A5E"/>
    <w:rsid w:val="00633EDE"/>
    <w:rsid w:val="00635CA5"/>
    <w:rsid w:val="00647CA6"/>
    <w:rsid w:val="00651209"/>
    <w:rsid w:val="0065173A"/>
    <w:rsid w:val="0065294E"/>
    <w:rsid w:val="006600D8"/>
    <w:rsid w:val="00661F71"/>
    <w:rsid w:val="006661CB"/>
    <w:rsid w:val="0066757A"/>
    <w:rsid w:val="006828F6"/>
    <w:rsid w:val="00691ABA"/>
    <w:rsid w:val="00692B2F"/>
    <w:rsid w:val="006A2A43"/>
    <w:rsid w:val="006B1681"/>
    <w:rsid w:val="006B6F08"/>
    <w:rsid w:val="006D1719"/>
    <w:rsid w:val="006E5441"/>
    <w:rsid w:val="006F0E36"/>
    <w:rsid w:val="00702F51"/>
    <w:rsid w:val="00705E2F"/>
    <w:rsid w:val="007310C3"/>
    <w:rsid w:val="0073187C"/>
    <w:rsid w:val="00735B71"/>
    <w:rsid w:val="0073749C"/>
    <w:rsid w:val="00750AC9"/>
    <w:rsid w:val="0075381C"/>
    <w:rsid w:val="007578EA"/>
    <w:rsid w:val="0075798D"/>
    <w:rsid w:val="00765D92"/>
    <w:rsid w:val="00770B38"/>
    <w:rsid w:val="00771E7B"/>
    <w:rsid w:val="00793AD1"/>
    <w:rsid w:val="00795D61"/>
    <w:rsid w:val="007A3BD6"/>
    <w:rsid w:val="007A4E99"/>
    <w:rsid w:val="007B67F4"/>
    <w:rsid w:val="007B6D76"/>
    <w:rsid w:val="007C2FE4"/>
    <w:rsid w:val="007C7D43"/>
    <w:rsid w:val="007D289F"/>
    <w:rsid w:val="007E0294"/>
    <w:rsid w:val="007E312A"/>
    <w:rsid w:val="007E4AF0"/>
    <w:rsid w:val="007F5BF3"/>
    <w:rsid w:val="007F6E5F"/>
    <w:rsid w:val="008032D7"/>
    <w:rsid w:val="00806B9C"/>
    <w:rsid w:val="0081059D"/>
    <w:rsid w:val="00820EC6"/>
    <w:rsid w:val="00822C1B"/>
    <w:rsid w:val="00845859"/>
    <w:rsid w:val="00846164"/>
    <w:rsid w:val="00861A85"/>
    <w:rsid w:val="00864667"/>
    <w:rsid w:val="008823BB"/>
    <w:rsid w:val="008930FF"/>
    <w:rsid w:val="00894A3B"/>
    <w:rsid w:val="008A214A"/>
    <w:rsid w:val="008B07E0"/>
    <w:rsid w:val="008B0A71"/>
    <w:rsid w:val="008B4F0F"/>
    <w:rsid w:val="008B5986"/>
    <w:rsid w:val="008C1927"/>
    <w:rsid w:val="008C59F7"/>
    <w:rsid w:val="008D1541"/>
    <w:rsid w:val="008D732E"/>
    <w:rsid w:val="008E0E73"/>
    <w:rsid w:val="008E283E"/>
    <w:rsid w:val="008E723D"/>
    <w:rsid w:val="008F0153"/>
    <w:rsid w:val="008F1F99"/>
    <w:rsid w:val="008F2F73"/>
    <w:rsid w:val="008F44F7"/>
    <w:rsid w:val="00903BB4"/>
    <w:rsid w:val="00910864"/>
    <w:rsid w:val="00915C40"/>
    <w:rsid w:val="00916A68"/>
    <w:rsid w:val="00920AE7"/>
    <w:rsid w:val="009362DC"/>
    <w:rsid w:val="0094165E"/>
    <w:rsid w:val="00945EA7"/>
    <w:rsid w:val="0096014C"/>
    <w:rsid w:val="00967A75"/>
    <w:rsid w:val="00986390"/>
    <w:rsid w:val="00990071"/>
    <w:rsid w:val="00996BF6"/>
    <w:rsid w:val="009A154A"/>
    <w:rsid w:val="009A21C3"/>
    <w:rsid w:val="009C2FB6"/>
    <w:rsid w:val="009D3FE5"/>
    <w:rsid w:val="009E5771"/>
    <w:rsid w:val="009E58D7"/>
    <w:rsid w:val="009F5A8A"/>
    <w:rsid w:val="00A03122"/>
    <w:rsid w:val="00A047B0"/>
    <w:rsid w:val="00A07112"/>
    <w:rsid w:val="00A10A05"/>
    <w:rsid w:val="00A1120E"/>
    <w:rsid w:val="00A11537"/>
    <w:rsid w:val="00A14189"/>
    <w:rsid w:val="00A23634"/>
    <w:rsid w:val="00A304D9"/>
    <w:rsid w:val="00A35109"/>
    <w:rsid w:val="00A376CC"/>
    <w:rsid w:val="00A400F2"/>
    <w:rsid w:val="00A42081"/>
    <w:rsid w:val="00A42FB9"/>
    <w:rsid w:val="00A43D00"/>
    <w:rsid w:val="00A4756B"/>
    <w:rsid w:val="00A5000A"/>
    <w:rsid w:val="00A5460B"/>
    <w:rsid w:val="00A55987"/>
    <w:rsid w:val="00A57E91"/>
    <w:rsid w:val="00A63B9E"/>
    <w:rsid w:val="00A76D4D"/>
    <w:rsid w:val="00A84672"/>
    <w:rsid w:val="00A84B9F"/>
    <w:rsid w:val="00A920B1"/>
    <w:rsid w:val="00A94A73"/>
    <w:rsid w:val="00A94BEF"/>
    <w:rsid w:val="00AB632E"/>
    <w:rsid w:val="00AB736A"/>
    <w:rsid w:val="00AB7979"/>
    <w:rsid w:val="00AD3720"/>
    <w:rsid w:val="00AE2229"/>
    <w:rsid w:val="00AE2BDE"/>
    <w:rsid w:val="00AF7150"/>
    <w:rsid w:val="00B14403"/>
    <w:rsid w:val="00B230C2"/>
    <w:rsid w:val="00B25219"/>
    <w:rsid w:val="00B41CBB"/>
    <w:rsid w:val="00B44145"/>
    <w:rsid w:val="00B449C7"/>
    <w:rsid w:val="00B46523"/>
    <w:rsid w:val="00B4759E"/>
    <w:rsid w:val="00B507A4"/>
    <w:rsid w:val="00B5479F"/>
    <w:rsid w:val="00B57441"/>
    <w:rsid w:val="00B60995"/>
    <w:rsid w:val="00B6418F"/>
    <w:rsid w:val="00B65239"/>
    <w:rsid w:val="00B74175"/>
    <w:rsid w:val="00B928E0"/>
    <w:rsid w:val="00B955DE"/>
    <w:rsid w:val="00BA1A74"/>
    <w:rsid w:val="00BA3355"/>
    <w:rsid w:val="00BB0585"/>
    <w:rsid w:val="00BB13C4"/>
    <w:rsid w:val="00BB629C"/>
    <w:rsid w:val="00BB78DB"/>
    <w:rsid w:val="00BC069B"/>
    <w:rsid w:val="00BC1D65"/>
    <w:rsid w:val="00BC3D68"/>
    <w:rsid w:val="00BC6265"/>
    <w:rsid w:val="00BC7662"/>
    <w:rsid w:val="00BC7B23"/>
    <w:rsid w:val="00BC7D52"/>
    <w:rsid w:val="00BD0FB2"/>
    <w:rsid w:val="00BD70A4"/>
    <w:rsid w:val="00BF42A9"/>
    <w:rsid w:val="00BF713E"/>
    <w:rsid w:val="00BF786F"/>
    <w:rsid w:val="00C00B5E"/>
    <w:rsid w:val="00C01F48"/>
    <w:rsid w:val="00C26417"/>
    <w:rsid w:val="00C26585"/>
    <w:rsid w:val="00C36176"/>
    <w:rsid w:val="00C40280"/>
    <w:rsid w:val="00C43C78"/>
    <w:rsid w:val="00C50E40"/>
    <w:rsid w:val="00C534D8"/>
    <w:rsid w:val="00C53E5E"/>
    <w:rsid w:val="00C55A2F"/>
    <w:rsid w:val="00C55CF9"/>
    <w:rsid w:val="00C60D98"/>
    <w:rsid w:val="00C62133"/>
    <w:rsid w:val="00C64294"/>
    <w:rsid w:val="00C66265"/>
    <w:rsid w:val="00C72169"/>
    <w:rsid w:val="00C75087"/>
    <w:rsid w:val="00C822B1"/>
    <w:rsid w:val="00C82731"/>
    <w:rsid w:val="00C84C5E"/>
    <w:rsid w:val="00C85F28"/>
    <w:rsid w:val="00C9010C"/>
    <w:rsid w:val="00C90B78"/>
    <w:rsid w:val="00C92EB4"/>
    <w:rsid w:val="00C9485C"/>
    <w:rsid w:val="00CA2CB0"/>
    <w:rsid w:val="00CC01E6"/>
    <w:rsid w:val="00CC08A8"/>
    <w:rsid w:val="00CC1D93"/>
    <w:rsid w:val="00CC2A31"/>
    <w:rsid w:val="00CC6E1B"/>
    <w:rsid w:val="00CD096F"/>
    <w:rsid w:val="00CD355A"/>
    <w:rsid w:val="00CE0DB9"/>
    <w:rsid w:val="00CE3B6D"/>
    <w:rsid w:val="00CF6C7B"/>
    <w:rsid w:val="00D06766"/>
    <w:rsid w:val="00D07100"/>
    <w:rsid w:val="00D14D04"/>
    <w:rsid w:val="00D24354"/>
    <w:rsid w:val="00D26995"/>
    <w:rsid w:val="00D33233"/>
    <w:rsid w:val="00D42CDE"/>
    <w:rsid w:val="00D465B4"/>
    <w:rsid w:val="00D52202"/>
    <w:rsid w:val="00D66CC4"/>
    <w:rsid w:val="00D919C4"/>
    <w:rsid w:val="00DB1ABA"/>
    <w:rsid w:val="00DB1AF4"/>
    <w:rsid w:val="00DB3C11"/>
    <w:rsid w:val="00DC48E5"/>
    <w:rsid w:val="00DD143B"/>
    <w:rsid w:val="00DD6569"/>
    <w:rsid w:val="00DE6CAF"/>
    <w:rsid w:val="00DF57CE"/>
    <w:rsid w:val="00DF7E12"/>
    <w:rsid w:val="00E12A3E"/>
    <w:rsid w:val="00E2104B"/>
    <w:rsid w:val="00E31FAA"/>
    <w:rsid w:val="00E45152"/>
    <w:rsid w:val="00E45CE8"/>
    <w:rsid w:val="00E500ED"/>
    <w:rsid w:val="00E55DE5"/>
    <w:rsid w:val="00E6503A"/>
    <w:rsid w:val="00E717E1"/>
    <w:rsid w:val="00E75A25"/>
    <w:rsid w:val="00E77412"/>
    <w:rsid w:val="00E86AC6"/>
    <w:rsid w:val="00E8760A"/>
    <w:rsid w:val="00EB00B1"/>
    <w:rsid w:val="00EB0233"/>
    <w:rsid w:val="00EB319F"/>
    <w:rsid w:val="00EB4192"/>
    <w:rsid w:val="00EC1C48"/>
    <w:rsid w:val="00EC2AD8"/>
    <w:rsid w:val="00ED1AC0"/>
    <w:rsid w:val="00ED40AE"/>
    <w:rsid w:val="00EE51A0"/>
    <w:rsid w:val="00EF4150"/>
    <w:rsid w:val="00EF5815"/>
    <w:rsid w:val="00EF66F8"/>
    <w:rsid w:val="00F003EC"/>
    <w:rsid w:val="00F007F0"/>
    <w:rsid w:val="00F30A78"/>
    <w:rsid w:val="00F316F7"/>
    <w:rsid w:val="00F43A54"/>
    <w:rsid w:val="00F44314"/>
    <w:rsid w:val="00F450EA"/>
    <w:rsid w:val="00F46D5E"/>
    <w:rsid w:val="00F54E6C"/>
    <w:rsid w:val="00F568ED"/>
    <w:rsid w:val="00F6497E"/>
    <w:rsid w:val="00F76CB2"/>
    <w:rsid w:val="00F838F8"/>
    <w:rsid w:val="00F83ECF"/>
    <w:rsid w:val="00F85591"/>
    <w:rsid w:val="00F860E3"/>
    <w:rsid w:val="00F87D1F"/>
    <w:rsid w:val="00FB530A"/>
    <w:rsid w:val="00FB7B26"/>
    <w:rsid w:val="00FC2D21"/>
    <w:rsid w:val="00FC3B85"/>
    <w:rsid w:val="00FE799E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.1 Kita"/>
    <w:uiPriority w:val="1"/>
    <w:qFormat/>
    <w:rsid w:val="00DB1AF4"/>
    <w:pPr>
      <w:widowControl w:val="0"/>
      <w:spacing w:after="0"/>
      <w:jc w:val="both"/>
    </w:pPr>
    <w:rPr>
      <w:rFonts w:ascii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5079"/>
    <w:pPr>
      <w:keepNext/>
      <w:widowControl/>
      <w:tabs>
        <w:tab w:val="left" w:pos="851"/>
      </w:tabs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 w:cs="Times New Roman"/>
      <w:b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BF6"/>
    <w:pPr>
      <w:ind w:left="720"/>
      <w:contextualSpacing/>
    </w:pPr>
  </w:style>
  <w:style w:type="paragraph" w:customStyle="1" w:styleId="Nagwek31">
    <w:name w:val="Nagłówek 31"/>
    <w:basedOn w:val="Normalny"/>
    <w:uiPriority w:val="1"/>
    <w:qFormat/>
    <w:rsid w:val="006828F6"/>
    <w:pPr>
      <w:tabs>
        <w:tab w:val="left" w:pos="1701"/>
      </w:tabs>
      <w:ind w:left="1701" w:hanging="1701"/>
      <w:outlineLvl w:val="3"/>
    </w:pPr>
    <w:rPr>
      <w:rFonts w:eastAsia="Times New Roman"/>
      <w:b/>
      <w:bCs/>
      <w:sz w:val="20"/>
      <w:szCs w:val="17"/>
    </w:rPr>
  </w:style>
  <w:style w:type="paragraph" w:styleId="Bezodstpw">
    <w:name w:val="No Spacing"/>
    <w:uiPriority w:val="99"/>
    <w:qFormat/>
    <w:rsid w:val="0051513F"/>
    <w:pPr>
      <w:widowControl w:val="0"/>
      <w:spacing w:after="120" w:line="288" w:lineRule="auto"/>
      <w:jc w:val="both"/>
    </w:pPr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3F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3F"/>
    <w:rPr>
      <w:rFonts w:ascii="Times New Roman" w:hAnsi="Times New Roman"/>
      <w:sz w:val="24"/>
      <w:lang w:val="en-US"/>
    </w:rPr>
  </w:style>
  <w:style w:type="paragraph" w:customStyle="1" w:styleId="Default">
    <w:name w:val="Default"/>
    <w:uiPriority w:val="99"/>
    <w:rsid w:val="00427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9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9A9"/>
    <w:rPr>
      <w:rFonts w:ascii="Times New Roman" w:hAnsi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9A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150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7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tyl">
    <w:name w:val="Styl"/>
    <w:uiPriority w:val="99"/>
    <w:rsid w:val="00E8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E12"/>
    <w:rPr>
      <w:rFonts w:ascii="Times New Roman" w:hAnsi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12"/>
    <w:rPr>
      <w:rFonts w:ascii="Times New Roman" w:hAnsi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12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B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B85"/>
    <w:rPr>
      <w:rFonts w:ascii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B85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3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3BD6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3E644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9EE"/>
    <w:rPr>
      <w:b/>
      <w:bCs/>
    </w:rPr>
  </w:style>
  <w:style w:type="paragraph" w:customStyle="1" w:styleId="PKTpunkt">
    <w:name w:val="PKT – punkt"/>
    <w:link w:val="PKTpunktZnak"/>
    <w:uiPriority w:val="99"/>
    <w:qFormat/>
    <w:rsid w:val="000326C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99"/>
    <w:locked/>
    <w:rsid w:val="000326CD"/>
    <w:rPr>
      <w:rFonts w:ascii="Times" w:eastAsia="Times New Roman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.1 Kita"/>
    <w:uiPriority w:val="1"/>
    <w:qFormat/>
    <w:rsid w:val="00DB1AF4"/>
    <w:pPr>
      <w:widowControl w:val="0"/>
      <w:spacing w:after="0"/>
      <w:jc w:val="both"/>
    </w:pPr>
    <w:rPr>
      <w:rFonts w:ascii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5079"/>
    <w:pPr>
      <w:keepNext/>
      <w:widowControl/>
      <w:tabs>
        <w:tab w:val="left" w:pos="851"/>
      </w:tabs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 w:cs="Times New Roman"/>
      <w:b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BF6"/>
    <w:pPr>
      <w:ind w:left="720"/>
      <w:contextualSpacing/>
    </w:pPr>
  </w:style>
  <w:style w:type="paragraph" w:customStyle="1" w:styleId="Nagwek31">
    <w:name w:val="Nagłówek 31"/>
    <w:basedOn w:val="Normalny"/>
    <w:uiPriority w:val="1"/>
    <w:qFormat/>
    <w:rsid w:val="006828F6"/>
    <w:pPr>
      <w:tabs>
        <w:tab w:val="left" w:pos="1701"/>
      </w:tabs>
      <w:ind w:left="1701" w:hanging="1701"/>
      <w:outlineLvl w:val="3"/>
    </w:pPr>
    <w:rPr>
      <w:rFonts w:eastAsia="Times New Roman"/>
      <w:b/>
      <w:bCs/>
      <w:sz w:val="20"/>
      <w:szCs w:val="17"/>
    </w:rPr>
  </w:style>
  <w:style w:type="paragraph" w:styleId="Bezodstpw">
    <w:name w:val="No Spacing"/>
    <w:uiPriority w:val="99"/>
    <w:qFormat/>
    <w:rsid w:val="0051513F"/>
    <w:pPr>
      <w:widowControl w:val="0"/>
      <w:spacing w:after="120" w:line="288" w:lineRule="auto"/>
      <w:jc w:val="both"/>
    </w:pPr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3F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3F"/>
    <w:rPr>
      <w:rFonts w:ascii="Times New Roman" w:hAnsi="Times New Roman"/>
      <w:sz w:val="24"/>
      <w:lang w:val="en-US"/>
    </w:rPr>
  </w:style>
  <w:style w:type="paragraph" w:customStyle="1" w:styleId="Default">
    <w:name w:val="Default"/>
    <w:uiPriority w:val="99"/>
    <w:rsid w:val="00427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9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9A9"/>
    <w:rPr>
      <w:rFonts w:ascii="Times New Roman" w:hAnsi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9A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150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7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tyl">
    <w:name w:val="Styl"/>
    <w:uiPriority w:val="99"/>
    <w:rsid w:val="00E8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E12"/>
    <w:rPr>
      <w:rFonts w:ascii="Times New Roman" w:hAnsi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12"/>
    <w:rPr>
      <w:rFonts w:ascii="Times New Roman" w:hAnsi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12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B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B85"/>
    <w:rPr>
      <w:rFonts w:ascii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B85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3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3BD6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3E644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9EE"/>
    <w:rPr>
      <w:b/>
      <w:bCs/>
    </w:rPr>
  </w:style>
  <w:style w:type="paragraph" w:customStyle="1" w:styleId="PKTpunkt">
    <w:name w:val="PKT – punkt"/>
    <w:link w:val="PKTpunktZnak"/>
    <w:uiPriority w:val="99"/>
    <w:qFormat/>
    <w:rsid w:val="000326C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99"/>
    <w:locked/>
    <w:rsid w:val="000326CD"/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FF65-9FF1-4A4B-BF7E-817DA593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2546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rkita</dc:creator>
  <cp:lastModifiedBy>Porzycka Magdalena</cp:lastModifiedBy>
  <cp:revision>7</cp:revision>
  <cp:lastPrinted>2016-08-18T11:42:00Z</cp:lastPrinted>
  <dcterms:created xsi:type="dcterms:W3CDTF">2016-08-12T14:16:00Z</dcterms:created>
  <dcterms:modified xsi:type="dcterms:W3CDTF">2016-08-18T11:42:00Z</dcterms:modified>
</cp:coreProperties>
</file>