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8D44" w14:textId="77777777" w:rsidR="00A2658B" w:rsidRPr="00E26C2C" w:rsidRDefault="00A2658B" w:rsidP="00A265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14:paraId="4BA4597F" w14:textId="77777777" w:rsidR="00A2658B" w:rsidRPr="00E26C2C" w:rsidRDefault="00A2658B" w:rsidP="00A265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0A3746" w14:textId="77777777" w:rsidR="00A2658B" w:rsidRPr="00E26C2C" w:rsidRDefault="00D35660" w:rsidP="00A2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Potrzeba i c</w:t>
      </w:r>
      <w:r w:rsidR="00A2658B" w:rsidRPr="00E2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 wydania rozporządzenia</w:t>
      </w:r>
    </w:p>
    <w:p w14:paraId="51F765F9" w14:textId="77777777" w:rsidR="00D35660" w:rsidRPr="00E26C2C" w:rsidRDefault="00D35660" w:rsidP="00A2658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89F09" w14:textId="119822FA" w:rsidR="00E22BEB" w:rsidRPr="00E26C2C" w:rsidRDefault="00B04F4D" w:rsidP="00D411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2658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stanowi realizację upoważnienia ustawowego </w:t>
      </w:r>
      <w:r w:rsidR="0025559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</w:t>
      </w:r>
      <w:r w:rsidR="00A2658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163 ustawy z dnia 3 lipca 2002 r. – Prawo lotnicze </w:t>
      </w:r>
      <w:r w:rsidR="00D356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1580</w:t>
      </w:r>
      <w:r w:rsidR="0025559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25559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5559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A2658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„ustawą – Prawo lotnicze”</w:t>
      </w:r>
      <w:r w:rsidR="005D2B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B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2658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przedmiotowy</w:t>
      </w:r>
      <w:r w:rsidR="005D2B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29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wymienionego upoważnienia</w:t>
      </w:r>
      <w:r w:rsidR="0029099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rozszerzony</w:t>
      </w:r>
      <w:r w:rsidR="00A2658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</w:t>
      </w:r>
      <w:r w:rsidR="00D356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2018 r. o zmianie ustawy – Prawo lotnicze oraz niektórych innych ustaw (Dz. U. z 2019 r. poz. 235)</w:t>
      </w:r>
      <w:r w:rsidR="00A2658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konsekwencji konieczne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stało się </w:t>
      </w:r>
      <w:r w:rsidR="00A2658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nowego aktu </w:t>
      </w:r>
      <w:r w:rsidR="005F529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wykonawczego</w:t>
      </w:r>
      <w:r w:rsidR="004B42B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 aktualnie obowiązujące rozporządzenie Ministra Infrastruktury i Budownictwa z dnia 7 lipca 2017 r. w sprawie certyfikacji działalności w lotnictwie cywilnym  (Dz. U. poz. 1400</w:t>
      </w:r>
      <w:r w:rsidR="00E01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E0140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014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25559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 </w:t>
      </w:r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„rozporządzenie</w:t>
      </w:r>
      <w:r w:rsidR="0025559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="00A928D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 ustawy z dnia 14 grudnia 2018 r. o zmianie ustawy – Prawo lotnicze oraz niektórych innych ustaw, przepisy rozporządzenia </w:t>
      </w:r>
      <w:proofErr w:type="spellStart"/>
      <w:r w:rsidR="00A928D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A928D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utracą moc z dniem 2 października 2020 r.</w:t>
      </w:r>
    </w:p>
    <w:p w14:paraId="7319F80E" w14:textId="5320BDEE" w:rsidR="001864F1" w:rsidRPr="00E26C2C" w:rsidRDefault="00AA0CD7" w:rsidP="00D411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 rozporządzenie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78C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precyzuje i uszczegóławia przepisy </w:t>
      </w:r>
      <w:r w:rsidR="007D399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certyfikacji podmiotów prowadzących działalność w obszarze lotnictwa cywilnego</w:t>
      </w:r>
      <w:r w:rsidR="007D399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99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lotnicze, w szczególności </w:t>
      </w:r>
      <w:r w:rsidR="007D399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 działu VII</w:t>
      </w:r>
      <w:r w:rsidR="004B42B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E234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dostosowuje przepisy prawa krajowego do następujących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rozporządzeń unijnych:</w:t>
      </w:r>
    </w:p>
    <w:p w14:paraId="464E1E7B" w14:textId="268B96B5" w:rsidR="001864F1" w:rsidRPr="00E26C2C" w:rsidRDefault="001864F1" w:rsidP="001864F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rozporządzenia Parlamentu Europejskiego i Rady (UE) 2018/1139 z dnia 4 lipca 2018 r. w sprawie wspólnych zasad w dziedzinie lotnictwa cywilnego i utworzenia Agencji Unii Europejskiej ds. Bezpieczeństwa Lotniczego oraz </w:t>
      </w:r>
      <w:r w:rsidR="00125A2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mieniającego rozporządzenia Parlamentu Europejskiego i Rady (WE) nr 2111/2005, (WE) nr 1008/2008, (UE) nr 996/2010, (UE) nr 376/2014 i dyrektywy Parlamentu Europejskiego i Rady 2014/30/UE</w:t>
      </w:r>
      <w:r w:rsidR="0015529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2014/53/UE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uchylającego rozporządzenia Parlamentu Europejskiego i Rady (WE) nr 552/2004 i (WE) nr 216/2008 i </w:t>
      </w:r>
      <w:r w:rsidR="0015529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(EWG) nr </w:t>
      </w:r>
      <w:r w:rsidR="0015529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3922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/91 (Dz. Urz. UE L 212 z 22.08.2018, str. 1),</w:t>
      </w:r>
      <w:r w:rsidR="008B33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B33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„rozporządzeniem nr 2018/1139”;</w:t>
      </w:r>
    </w:p>
    <w:p w14:paraId="3DF43604" w14:textId="77777777" w:rsidR="001864F1" w:rsidRPr="00E26C2C" w:rsidRDefault="001864F1" w:rsidP="001864F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rozporządzenia Komisji (UE) nr 965/2012 z dnia 5 października 2012 r. ustanawiającego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="006C7EF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C7EF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„rozporządzeniem 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C7EF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965/2012”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C90F6B" w14:textId="54217365" w:rsidR="003856D7" w:rsidRPr="00E26C2C" w:rsidRDefault="003856D7" w:rsidP="001864F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rozporządzenia Komisji (UE) nr 748/2012 z dnia 3 sierpnia 2012 r. ustanawiającego przepisy wykonawcze dotyczące certyfikacji statków powietrznych i związanych z nimi </w:t>
      </w:r>
      <w:r w:rsidR="0015529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wyrobów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części i akcesoriów w zakresie zdatności do lotu i ochrony środowiska oraz dotyczące</w:t>
      </w:r>
      <w:r w:rsidR="0015529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certyfikacji organizacji projektujących i produkujących (Dz. Urz. UE L 224 z 21.08.2012, str. 1</w:t>
      </w:r>
      <w:r w:rsidR="0013031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3031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3031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„rozporządzeniem nr 748/2012”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615F27" w14:textId="4D29112E" w:rsidR="001864F1" w:rsidRPr="00E26C2C" w:rsidRDefault="00145517" w:rsidP="001864F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64F1"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rozporządzenia Komisji (UE) nr 1178/2011 z dnia 3 listopada 2011 r. ustanawiającego wymagania techniczne i procedury administracyjne odnoszące się do załóg w lotnictwie cywilnym zgodnie z rozporządzeniem Parlamentu Europejskiego i Rady (WE) nr 216/2008 (Dz. Urz. UE L 311 z 25.11.2011, str. 1, z </w:t>
      </w:r>
      <w:proofErr w:type="spellStart"/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8C287F" w14:textId="3B84F657" w:rsidR="001864F1" w:rsidRPr="00E26C2C" w:rsidRDefault="00145517" w:rsidP="001864F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64F1"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rozporządzenia Komisji (UE) nr 139/2014 z dnia 12 lutego 2014 r. ustanawiającego wymagania oraz procedury administracyjne dotyczące lotnisk zgodnie z rozporządzeniem Parlamentu Europejskiego i Rady (WE) nr 216/2008 (Dz. Urz. UE L 44 z 14.02.2014, str. 1, z </w:t>
      </w:r>
      <w:proofErr w:type="spellStart"/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9B91B3" w14:textId="23079EF6" w:rsidR="001864F1" w:rsidRDefault="001864F1" w:rsidP="001864F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rozporządzenia Komisji (UE) nr 1321/2014 z dnia 26 listopada 2014 r. w sprawie ciągłej zdatności do lotu statków powietrznych oraz wyrobów lotniczych, części i wyposażenia, a także w sprawie zatwierdzeń udzielanych organizacjom i personelowi zaangażowanym w takie zadania (Dz. Urz. UE L 362 z 17.12.2014, str. 1, z </w:t>
      </w:r>
      <w:proofErr w:type="spellStart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="003856D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</w:t>
      </w:r>
      <w:r w:rsidR="00827F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3856D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„rozporządzenie</w:t>
      </w:r>
      <w:r w:rsidR="00827F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856D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1321/2014”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03264E" w14:textId="5E989754" w:rsidR="00922184" w:rsidRPr="00E26C2C" w:rsidRDefault="00922184" w:rsidP="001864F1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2AFD">
        <w:rPr>
          <w:rFonts w:ascii="Times New Roman" w:hAnsi="Times New Roman" w:cs="Times New Roman"/>
          <w:sz w:val="24"/>
          <w:szCs w:val="24"/>
        </w:rPr>
        <w:t>rozporządzenia Komisji (UE) nr 2015/340 z dnia 20 lutego 2015 r. ustanawiającego wymagania techniczne i procedury administracyjne dotyczące licencji i certyfikatów kontrolerów ruchu lotniczego zgodnie z rozporządzeniem Parlamentu Europejskiego i Rady (WE) nr 216/2008, zmieniającego rozporządzenie wykonawcze Komisji (UE) nr 923/2012 i uchylającego rozporządzenie Komisji (UE) nr 805/2011 (Dz. Urz. UE L 63 z 06.03.2015, str.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700492" w14:textId="44C1787D" w:rsidR="00F448F6" w:rsidRPr="00E26C2C" w:rsidRDefault="00922184" w:rsidP="00922184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864F1" w:rsidRPr="00860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rozporządzenia </w:t>
      </w:r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wykonawczego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(UE) 2017/373 z dnia 1 marca 2017 r. ustanawiającego wspólne wymogi dotyczące instytucji zapewniających zarządzanie ruchem lotniczym</w:t>
      </w:r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/ służby żeglugi powietrznej i inne funkcje sieciowe zarz</w:t>
      </w:r>
      <w:r w:rsidR="00D5750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ruchem lotniczym oraz nadzoru nad nimi, uchylające</w:t>
      </w:r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(WE) nr 482/2008, </w:t>
      </w:r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wykonawcze (UE) nr 1034/2011, (UE) nr 1035/2011 i (UE) 2016/1377 oraz zmieniające</w:t>
      </w:r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(UE) nr 677/2011 (Dz. Urz. UE L 62 z 08.03.2017, str. 1</w:t>
      </w:r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455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1864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„rozporządzenie</w:t>
      </w:r>
      <w:r w:rsidR="00827F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2017/373”</w:t>
      </w:r>
      <w:r w:rsidR="00DA0A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BFBA5A" w14:textId="77777777" w:rsidR="00FA65D5" w:rsidRPr="00E26C2C" w:rsidRDefault="00FA65D5" w:rsidP="001864F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AB9D0" w14:textId="77777777" w:rsidR="00A2658B" w:rsidRPr="00E26C2C" w:rsidRDefault="00A2658B" w:rsidP="00A26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regulacji </w:t>
      </w:r>
    </w:p>
    <w:p w14:paraId="62A7462A" w14:textId="77777777" w:rsidR="00A2658B" w:rsidRPr="00E26C2C" w:rsidRDefault="00A2658B" w:rsidP="00A265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3B9EC9" w14:textId="125A6EED" w:rsidR="00A2658B" w:rsidRPr="00E26C2C" w:rsidRDefault="00A2658B" w:rsidP="00FA65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nowym brzmieniem </w:t>
      </w:r>
      <w:r w:rsidR="00125A2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</w:t>
      </w:r>
      <w:r w:rsidR="000F229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wydania projektowanego rozporządzenia,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właściwy do spraw transportu 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obowiązany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rozporządzenia:</w:t>
      </w:r>
    </w:p>
    <w:p w14:paraId="78476393" w14:textId="77777777" w:rsidR="005E71A2" w:rsidRPr="00E26C2C" w:rsidRDefault="005E71A2" w:rsidP="00F448F6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szczegółowe wymagania</w:t>
      </w:r>
      <w:r w:rsidR="007F649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powinien spełnić podmiot w procesie certyfikacji;</w:t>
      </w:r>
    </w:p>
    <w:p w14:paraId="65C40772" w14:textId="77777777" w:rsidR="005E71A2" w:rsidRPr="00E26C2C" w:rsidRDefault="005E71A2" w:rsidP="00F448F6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szczegółowy zakres i tryb prowadzenia procesu certyfikacji oraz dokumenty i informacje wymagane w tym procesie, w tym wydawania po raz pierwszy certyfikatu, rozszerzenia zakresu oraz przedłużania albo wznawiania jego ważności;</w:t>
      </w:r>
    </w:p>
    <w:p w14:paraId="2C5E82CC" w14:textId="325E4673" w:rsidR="005E71A2" w:rsidRPr="00E26C2C" w:rsidRDefault="005E71A2" w:rsidP="00F448F6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rodzaje i wzory certyfikatów dla poszczególnych rodzajów działalności, o których mowa w art. 160 ust. 3 ustawy – Prawo lotnicze;</w:t>
      </w:r>
    </w:p>
    <w:p w14:paraId="40CC928B" w14:textId="77777777" w:rsidR="005E71A2" w:rsidRPr="00E26C2C" w:rsidRDefault="005E71A2" w:rsidP="00F448F6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szczegółowe warunki i tryb uznawania certyfikatów zagranicznych;</w:t>
      </w:r>
    </w:p>
    <w:p w14:paraId="031EAE73" w14:textId="65C18723" w:rsidR="005E71A2" w:rsidRPr="00E26C2C" w:rsidRDefault="005E71A2" w:rsidP="00F448F6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szczegółowe warunki zawieszania ważności certyfikatów, ograniczenia uprawnień z nich wynikających oraz cofania certyfikatów</w:t>
      </w:r>
      <w:r w:rsidR="000F229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171DFC" w14:textId="77777777" w:rsidR="00A2658B" w:rsidRPr="00E26C2C" w:rsidRDefault="005E71A2" w:rsidP="00F448F6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szczegółowe warunki sprawowania bieżącego nadzoru nad posiadaczami certyfikatu oraz wymagania programu naprawczego.</w:t>
      </w:r>
    </w:p>
    <w:p w14:paraId="50E62CD5" w14:textId="77777777" w:rsidR="00FA65D5" w:rsidRPr="00E26C2C" w:rsidRDefault="00FA65D5" w:rsidP="00F01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8ECC3" w14:textId="1F06D592" w:rsidR="00E30903" w:rsidRPr="00E26C2C" w:rsidRDefault="001864F1" w:rsidP="00385C8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C47F2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kompleksowo reguluje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</w:t>
      </w:r>
      <w:r w:rsidR="00F01A6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certyfikacji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w lotnictwie cywilnym w Rzecz</w:t>
      </w:r>
      <w:r w:rsidR="00C47F2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pospolitej Polskiej. </w:t>
      </w:r>
      <w:r w:rsidR="000F229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 regulacje dotychczas obowiązujące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w rozporządzeniu </w:t>
      </w:r>
      <w:proofErr w:type="spellStart"/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IiB</w:t>
      </w:r>
      <w:proofErr w:type="spellEnd"/>
      <w:r w:rsidR="002064C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z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awiera </w:t>
      </w:r>
      <w:r w:rsidR="000F229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nowe rozwiązania</w:t>
      </w:r>
      <w:r w:rsidR="00D5750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 z konieczności dostosowania przepisów do zmian </w:t>
      </w:r>
      <w:r w:rsidR="000F229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wprowadzonych 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prawie krajowym </w:t>
      </w:r>
      <w:r w:rsidR="00AA50B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Unii Europejskiej (UE)</w:t>
      </w:r>
      <w:r w:rsidR="002E6BC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praktyki stosowania rozporządzenia </w:t>
      </w:r>
      <w:proofErr w:type="spellStart"/>
      <w:r w:rsidR="00E22B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52C185" w14:textId="643C0C5E" w:rsidR="00F07219" w:rsidRPr="00E26C2C" w:rsidRDefault="00F07219" w:rsidP="00385C8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6D27F" w14:textId="4E7AE726" w:rsidR="00B8215F" w:rsidRPr="00E26C2C" w:rsidRDefault="00AF6CAD" w:rsidP="00F01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1 </w:t>
      </w:r>
      <w:r w:rsidR="00F169F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2064C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="00A9164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projektowanego rozporządzenia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3744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="00A9164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jaśnia stosowane w nim </w:t>
      </w:r>
      <w:r w:rsidR="00AC4E0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="00D5750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9164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wykonawcze, przedłużenie ważności certyfikatu</w:t>
      </w:r>
      <w:r w:rsidR="00D5750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wznowienie ważności certyfikatu i niezgodności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80281" w14:textId="2D46A482" w:rsidR="00C47F25" w:rsidRPr="00E26C2C" w:rsidRDefault="00ED75A9" w:rsidP="00ED75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 pkt 4 lit. a–g </w:t>
      </w:r>
      <w:r w:rsidR="00D5750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zdefiniowano nie</w:t>
      </w:r>
      <w:r w:rsidR="00827F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obszarów, które w różnym stopniu objęte są przepisami prawa UE</w:t>
      </w:r>
      <w:r w:rsidR="001F6F5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1952D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 pkt 4 lit. g projektu, </w:t>
      </w:r>
      <w:r w:rsidR="001F6F5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przepisów rozporządzenia nr 2017/373, wymieniono niezgodności dotyczące obszaru zarządzania ruchem lotniczym lub służb żeglugi powietrznej.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§ 2 pkt 4 lit. h </w:t>
      </w:r>
      <w:r w:rsidR="002E6BC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zdefiniowano nie</w:t>
      </w:r>
      <w:r w:rsidR="00827F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obszarów nieuregulowanych </w:t>
      </w:r>
      <w:r w:rsidR="001952D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prawa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UE, bądź takich</w:t>
      </w:r>
      <w:r w:rsidR="00D5750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których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UE </w:t>
      </w:r>
      <w:r w:rsidR="00D5750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niezgodności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definiuje. Zastosowane w ww. definicjach sformułowania „bezpośrednie zagrożenie”, „trwałe obniżenie”</w:t>
      </w:r>
      <w:r w:rsidR="00385C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„utrudnienie spełnienia”, należy rozumieć zgodnie z ich wykładnią językową, </w:t>
      </w:r>
      <w:r w:rsidR="001952D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osić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ich słownikowych znaczeń</w:t>
      </w:r>
      <w:r w:rsidR="00C47F2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zatem </w:t>
      </w:r>
      <w:r w:rsidR="00AA288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„bezpośrednie zagrożenie” należy rozumieć jako dotyczące wprost bezpieczeństwa działalności w lotnictwie cywilnym, a „utrudnienie” jako przeszkodę w spełnianiu wymagań.</w:t>
      </w:r>
      <w:r w:rsidR="003148D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24F2E4" w14:textId="1DB7B737" w:rsidR="00ED75A9" w:rsidRPr="00E26C2C" w:rsidRDefault="003148D1" w:rsidP="00ED75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3 </w:t>
      </w:r>
      <w:r w:rsidR="00385C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ujęto normę, która </w:t>
      </w:r>
      <w:r w:rsidR="00385C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gdy podmiot nie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przeprowadzi w</w:t>
      </w:r>
      <w:r w:rsidR="00186C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wskazanym w programie naprawczym zatwierdzonym</w:t>
      </w:r>
      <w:r w:rsidR="00EB158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Prezesa Urzędu </w:t>
      </w:r>
      <w:r w:rsidR="00EB158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Lotnictwa Cywilnego, zwanego dalej „Prezesem Urzędu”,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 protokole kontroli</w:t>
      </w:r>
      <w:r w:rsidR="0023477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wobec stwierdzonych niezgodności poziomu 2</w:t>
      </w:r>
      <w:r w:rsidR="00EB158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2C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spowoduje to podniesienie statusu stwierdzonych niezgodności poziomu 2 do niezgodności poziomu 1.</w:t>
      </w:r>
      <w:r w:rsidR="0023477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przepis, który ma na celu </w:t>
      </w:r>
      <w:r w:rsidR="005301D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mobilizację podmiotów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realizowania działań w celu usunięcia stwierdzonych niezgodności. </w:t>
      </w:r>
      <w:r w:rsidR="00D162C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 </w:t>
      </w:r>
      <w:r w:rsidR="00D162C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ta jest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stosowana 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 przypadku podmiotów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lotniczych 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usuwających niezgodności </w:t>
      </w:r>
      <w:r w:rsidR="00E8325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8325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przewidzianych w przepisach </w:t>
      </w:r>
      <w:r w:rsidR="00D162C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uwagi na konieczność jednolitego 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traktowania przez władzę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lotniczą podmiotów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certyfikowanych na podstawie przepisów unijnych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przepisów krajowych, zasadne jest</w:t>
      </w:r>
      <w:r w:rsidR="0089434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również niezgodności poziomu 2 stwierdzone 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podmiotach, które nie muszą opracowywać programów naprawczych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podnosz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do niezgodności poziomu 1 </w:t>
      </w:r>
      <w:r w:rsidR="00E8325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nieusunięcia 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protokole kontroli</w:t>
      </w:r>
      <w:r w:rsidR="00E8325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CBB28C8" w14:textId="77777777" w:rsidR="00E30903" w:rsidRPr="00E26C2C" w:rsidRDefault="00E30903" w:rsidP="00ED75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7017A" w14:textId="42F25EF8" w:rsidR="006F4BCD" w:rsidRPr="00E26C2C" w:rsidRDefault="00385C82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D1F5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rozdziale </w:t>
      </w:r>
      <w:r w:rsidR="00ED75A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4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określono </w:t>
      </w:r>
      <w:r w:rsidR="00FD1F5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jakiego rodzaju czynności są </w:t>
      </w:r>
      <w:r w:rsidR="005245A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dokonywane w procesie </w:t>
      </w:r>
      <w:r w:rsidR="00ED75A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certyfikacji</w:t>
      </w:r>
      <w:r w:rsidR="00FD1F5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D75A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Względem rozporządzenia </w:t>
      </w:r>
      <w:proofErr w:type="spellStart"/>
      <w:r w:rsidR="005245A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5245A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5A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poszczególnych działań certyfikacyjnych </w:t>
      </w:r>
      <w:r w:rsidR="005301D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uległo zmianie</w:t>
      </w:r>
      <w:r w:rsidR="00ED75A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506755" w14:textId="75FB8356" w:rsidR="00003C05" w:rsidRPr="00E26C2C" w:rsidRDefault="00ED75A9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1413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C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D1F5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stalone został</w:t>
      </w:r>
      <w:r w:rsidR="00A9490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D1F5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certyfikatów właściwych dla poszczególnych rodzajów działalności podmiotów działających w lotnictwie cywilnym. Są to: certyfikat przewoźnika lotniczego (AOC), certyfikat dla zatwierdzonej organizacji szkolenia (ATO), certyfikat </w:t>
      </w:r>
      <w:r w:rsidR="00F448F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organizacji szkoleniowej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technicznej (MTO Part</w:t>
      </w:r>
      <w:r w:rsidR="001F1A7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147), certyfikat ośrodka szkolenia lotniczego personelu wchodzącego w skład załóg statków powietrznych (CTO), certyfikat ośrodka szkolenia lotniczego mechaników lotniczych obsługi technicznej (AMTO), certyfikat organizacji szkolącej kontrolerów ruchu lotniczego </w:t>
      </w:r>
      <w:r w:rsidR="0029649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praktykantów </w:t>
      </w:r>
      <w:r w:rsidR="00C2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kontrolerów </w:t>
      </w:r>
      <w:r w:rsidR="0029649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ruchu lotniczego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(ATCO TO), certyfikat organizacji szkolącej personel służb informacji powietrznej (FISP TO), certyfikat lotniska (ADRC),</w:t>
      </w:r>
      <w:r w:rsidR="00503A1D" w:rsidRPr="00E26C2C">
        <w:rPr>
          <w:rFonts w:ascii="Times New Roman" w:hAnsi="Times New Roman" w:cs="Times New Roman"/>
          <w:sz w:val="24"/>
          <w:szCs w:val="24"/>
        </w:rPr>
        <w:t xml:space="preserve">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agenta obsługi naziemnej (AHAC),</w:t>
      </w:r>
      <w:r w:rsidR="00503A1D" w:rsidRPr="00E26C2C">
        <w:rPr>
          <w:rFonts w:ascii="Times New Roman" w:hAnsi="Times New Roman" w:cs="Times New Roman"/>
          <w:sz w:val="24"/>
          <w:szCs w:val="24"/>
        </w:rPr>
        <w:t xml:space="preserve">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technicznej (AMO), certyfikat organizacji zarządzania ciągłą zdatnością do lotu (CAMO)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certyfikat organizacji kompleksowej zdatności do lotu (CAO),</w:t>
      </w:r>
      <w:r w:rsidR="00503A1D" w:rsidRPr="00E26C2C">
        <w:rPr>
          <w:rFonts w:ascii="Times New Roman" w:hAnsi="Times New Roman" w:cs="Times New Roman"/>
          <w:sz w:val="24"/>
          <w:szCs w:val="24"/>
        </w:rPr>
        <w:t xml:space="preserve"> 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organizacji produkującej (</w:t>
      </w:r>
      <w:r w:rsidR="00E8325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POA)</w:t>
      </w:r>
      <w:r w:rsidR="000E2B7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A1D" w:rsidRPr="00E26C2C">
        <w:rPr>
          <w:rFonts w:ascii="Times New Roman" w:hAnsi="Times New Roman" w:cs="Times New Roman"/>
          <w:sz w:val="24"/>
          <w:szCs w:val="24"/>
        </w:rPr>
        <w:t xml:space="preserve">oraz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instytucji zapewniającej zarządzanie ruchem lotniczym lub zapewniającej służby żeglugi powietrznej (ATM</w:t>
      </w:r>
      <w:r w:rsidR="000425B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425B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A1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 Provider). 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certyfikatu ATM</w:t>
      </w:r>
      <w:r w:rsidR="000425B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425B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ANS Provider potwierdzającego zdolność podmiotu do świadczeni</w:t>
      </w:r>
      <w:r w:rsidR="009427C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0425B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dodano </w:t>
      </w:r>
      <w:r w:rsidR="00CE63C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</w:t>
      </w:r>
      <w:r w:rsidR="00CE63C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E63C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lokalnego 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zarządzania przepływem ruchu lotniczego (ATFCM) oraz funkcję </w:t>
      </w:r>
      <w:r w:rsidR="00CC6E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CC6E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C6E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przestrzenią powietrzną (ASM)</w:t>
      </w:r>
      <w:r w:rsidR="00CE6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taktycznym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aby być zgodnym z przepisami rozporządzenia nr 2017/373. </w:t>
      </w:r>
    </w:p>
    <w:p w14:paraId="079902B2" w14:textId="25B6E347" w:rsidR="00137103" w:rsidRPr="00E26C2C" w:rsidRDefault="00B8215F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zwrócić 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uwagę, że w ramach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certyfikacji </w:t>
      </w:r>
      <w:r w:rsidR="000425B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przewoźników lotniczych 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działalność lotniczą </w:t>
      </w:r>
      <w:r w:rsidR="002B399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balon</w:t>
      </w:r>
      <w:r w:rsidR="002B399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ze zmian</w:t>
      </w:r>
      <w:r w:rsidR="00C321E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965/2012 (tj. 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wejściem w życie z dniem </w:t>
      </w:r>
      <w:r w:rsidR="00F169F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2018 r. rozporządzenia Komisji (UE) 2018/394 z dnia 13 marca 2018 r. zmieniającego rozporządzenie (UE) nr 965/2012 w zakresie usunięcia wymagań dotyczących operacji lotniczych wykonywanych balonami</w:t>
      </w:r>
      <w:r w:rsidR="00F169F7" w:rsidRPr="00E26C2C">
        <w:rPr>
          <w:rFonts w:ascii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r w:rsidR="00F169F7" w:rsidRPr="00E26C2C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F169F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71 z 14.03.2018, str. 1)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mając na uwadze art. </w:t>
      </w:r>
      <w:r w:rsidR="00C321E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7 rozporządzenia 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965/2012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44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wskazano, 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zakresie sprawowania nadzoru w odniesieniu do operacji lotniczych wykonywanych przy użyciu balonów innych niż balony gazowe na uwięzi mają zastosowanie wymagania określone w art. 3 tego rozporządzenia – w </w:t>
      </w:r>
      <w:r w:rsidR="003903A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określono, że certyfikacji będą podlegały operacje wykonywane balonami gazowymi na uwięzi oraz balonami wolnymi</w:t>
      </w:r>
      <w:r w:rsidR="00C37DA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tylko w zakresie niezastrzeżonym dla </w:t>
      </w:r>
      <w:bookmarkStart w:id="0" w:name="_Hlk44286770"/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Agencji Unii Europejskiej ds. Bezpieczeństwa Lotniczego </w:t>
      </w:r>
      <w:bookmarkEnd w:id="0"/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(EASA).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90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rozwiązanie w ocenie projektodawcy pozwoli na zachowanie odpowiedniego poziomu bezpieczeństwa w przypadku wykorzystywania </w:t>
      </w:r>
      <w:r w:rsidR="008C5D8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działalności lotniczej </w:t>
      </w:r>
      <w:r w:rsidR="00A9490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rodzaju statków powietrznych. </w:t>
      </w:r>
    </w:p>
    <w:p w14:paraId="14091FD6" w14:textId="4CEA780C" w:rsidR="006A175F" w:rsidRPr="00E26C2C" w:rsidRDefault="000D4791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na zmiany </w:t>
      </w:r>
      <w:r w:rsidR="000425B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unijnych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(rozporządzenia nr 1321/2014) i krajowych (art. 53c ust. 3 ustawy </w:t>
      </w:r>
      <w:r w:rsidR="009F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lotnicze)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F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ciągłej zdatności do lotów statków powietrznych</w:t>
      </w:r>
      <w:r w:rsidR="00C27F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D344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§ 5 pkt 1</w:t>
      </w:r>
      <w:r w:rsidR="006A17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A5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D344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7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D344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wyszczególniono </w:t>
      </w:r>
      <w:r w:rsidR="006A17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certyfikatów organizacji zarządzania ciągłą zdatnością do lotu (CAMO</w:t>
      </w:r>
      <w:r w:rsidR="006A17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7F7BF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kompleksowej zdatności do lotu (CAO)</w:t>
      </w:r>
      <w:r w:rsidR="009F58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7AD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171EEC" w14:textId="4F1D133A" w:rsidR="00137103" w:rsidRPr="00E26C2C" w:rsidRDefault="00144B96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wydawan</w:t>
      </w:r>
      <w:r w:rsidR="007F7BF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certyfikatów organizacji projektującej (DOA) jedynie na podstawie przepisów </w:t>
      </w:r>
      <w:r w:rsidR="007F7BF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EASA projekt nie obejmuje tego certyfikatu</w:t>
      </w:r>
      <w:r w:rsidR="007F7BF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procesu </w:t>
      </w:r>
      <w:r w:rsidR="007F7BF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certyfikacji nie prowadzi Prezes Urzędu</w:t>
      </w:r>
      <w:r w:rsidR="007F7BF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B0A16D5" w14:textId="2977882A" w:rsidR="000D4791" w:rsidRPr="00E26C2C" w:rsidRDefault="006A175F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Wyszczególnione w § 5 pkt 12</w:t>
      </w:r>
      <w:r w:rsidR="00A5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projektu certyfikaty organizacji kompleksowej zdatności do lotu (CAO) oraz organizacji produkującej (POA) dotyczą zarówno certyfikatów wydanych na podstawie rozporządzeń unijnych jak i certyfikatów </w:t>
      </w:r>
      <w:r w:rsidR="0074151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wydanych na podstawie przepisów prawa polskiego. Wzory certyfikatów wydanych na podstawie przepisów prawa polskiego określono w załącznikach do rozporządzenia.</w:t>
      </w:r>
    </w:p>
    <w:p w14:paraId="0D1AADB8" w14:textId="433F5240" w:rsidR="00003C05" w:rsidRPr="00E26C2C" w:rsidRDefault="00147AD0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6 projektu wskazano, że nieodłączną </w:t>
      </w:r>
      <w:r w:rsidR="00D37D5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certyfikatu mogą </w:t>
      </w:r>
      <w:r w:rsidR="00D37D5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stanowić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i zakresy zatwierdzenia</w:t>
      </w:r>
      <w:r w:rsidR="008271B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80A7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analogicznie</w:t>
      </w:r>
      <w:r w:rsidR="008271B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rozporządzeniu </w:t>
      </w:r>
      <w:proofErr w:type="spellStart"/>
      <w:r w:rsidR="008271B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8271B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również warunki zatwierdzenia – co wynika z treści </w:t>
      </w:r>
      <w:r w:rsidR="00F1588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3856D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21.A.151 </w:t>
      </w:r>
      <w:proofErr w:type="spellStart"/>
      <w:r w:rsidR="003856D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podczęść</w:t>
      </w:r>
      <w:proofErr w:type="spellEnd"/>
      <w:r w:rsidR="003856D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00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A części 21 załącznika I do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nr 748/2012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certyfikatów POA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4B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Dodano także warunki zapewniania służb</w:t>
      </w:r>
      <w:r w:rsidR="006E6D9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34B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z kolei wynika z 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8A34B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nr 2017/373</w:t>
      </w:r>
      <w:r w:rsidR="00801006" w:rsidRPr="00801006">
        <w:rPr>
          <w:rFonts w:ascii="Times New Roman" w:hAnsi="Times New Roman" w:cs="Times New Roman"/>
          <w:sz w:val="24"/>
          <w:szCs w:val="24"/>
        </w:rPr>
        <w:t xml:space="preserve"> </w:t>
      </w:r>
      <w:r w:rsidR="00801006">
        <w:rPr>
          <w:rFonts w:ascii="Times New Roman" w:hAnsi="Times New Roman" w:cs="Times New Roman"/>
          <w:sz w:val="24"/>
          <w:szCs w:val="24"/>
        </w:rPr>
        <w:t xml:space="preserve">i </w:t>
      </w:r>
      <w:r w:rsidR="00801006" w:rsidRPr="0080100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 w:rsidR="0080100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01006" w:rsidRPr="00801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certyfikatów</w:t>
      </w:r>
      <w:r w:rsidR="008A34B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871222" w14:textId="582363E8" w:rsidR="008A34B4" w:rsidRPr="00E26C2C" w:rsidRDefault="008A34B4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8 </w:t>
      </w:r>
      <w:r w:rsidR="00B65F4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przesądzono o liczbie egzemplarzy </w:t>
      </w:r>
      <w:r w:rsidR="00B65F4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wydawanych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certyfikatów i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prowadzeniu dla celów porządkowych ich ewidencji.</w:t>
      </w:r>
    </w:p>
    <w:p w14:paraId="60BC998A" w14:textId="77777777" w:rsidR="00E30903" w:rsidRPr="00E26C2C" w:rsidRDefault="00E30903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0E180" w14:textId="37ADB73D" w:rsidR="002A3C64" w:rsidRPr="00E26C2C" w:rsidRDefault="001951A1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 </w:t>
      </w:r>
      <w:r w:rsidR="00B65F4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tryb powadzenia procesu certyfikacji, czyli etapy procesu certyfikacji (§ </w:t>
      </w:r>
      <w:r w:rsidR="0004216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7162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terminy obowiązujące w procesie certyfikacji. </w:t>
      </w:r>
      <w:r w:rsidR="002A3C6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Utrzymane zostało rozwiązanie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A3C6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wynika, że proces certyfikacji prowadzony jest przez zespół certyfikujący</w:t>
      </w:r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88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(§</w:t>
      </w:r>
      <w:r w:rsidR="00E309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88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 9 projektu)</w:t>
      </w:r>
      <w:r w:rsidR="002A3C6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67C496" w14:textId="0C769F3F" w:rsidR="008C5D82" w:rsidRPr="00E26C2C" w:rsidRDefault="001951A1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rozporządzenia </w:t>
      </w:r>
      <w:proofErr w:type="spellStart"/>
      <w:r w:rsidR="00B7162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B7162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etapów certyfikacji </w:t>
      </w:r>
      <w:r w:rsidR="0004216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zasady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pozostawiono bez zmian. 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4216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óżnicą jest zmiana </w:t>
      </w:r>
      <w:r w:rsidR="002A3C6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ostatniego etapu certyfikacji tj. etapu akceptacji. </w:t>
      </w:r>
      <w:r w:rsidR="00B7162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zawęża akceptację jedynie do dokumentów, z uwagi jednak na fakt, że akceptacja dotyczy także personelu lotniczego – co wynika </w:t>
      </w:r>
      <w:r w:rsidR="00AA288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573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M.B.702 </w:t>
      </w:r>
      <w:r w:rsidR="005573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podsekcja G sekcja A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 załącznika I do rozporządzenia nr 1321/2014</w:t>
      </w:r>
      <w:r w:rsidR="00E233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zasadną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taka konstrukcja przepisu, która uwzględniałaby także tę okoliczność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7162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zatwierdzeń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289647" w14:textId="69AF82E8" w:rsidR="0011339D" w:rsidRPr="00E26C2C" w:rsidRDefault="001951A1" w:rsidP="003A430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zakresie terminów obowiązujących w procesie certyfikacji względem rozporządzenia </w:t>
      </w:r>
      <w:proofErr w:type="spellStart"/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wprowadzono zmiany polegające na rozróżnieniu terminów dla certyfikacji 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przewoźników lotniczych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80A7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</w:t>
      </w:r>
      <w:r w:rsidR="00C80A7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certyfikacj</w:t>
      </w:r>
      <w:r w:rsidR="00E233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Taki podział jest </w:t>
      </w:r>
      <w:r w:rsidR="00E957C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</w:t>
      </w:r>
      <w:r w:rsidR="00E957C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spójności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regulacji krajowej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D4B4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akceptowalnymi sposobami spełniania wymagań 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AMC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ARO.GEN.310 </w:t>
      </w:r>
      <w:r w:rsidR="00CF189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nr 965/2012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przypadku certyfikatu AOC</w:t>
      </w:r>
      <w:r w:rsidR="00C80A7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rekomenduje, aby wniosek o wydanie </w:t>
      </w:r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certyfikatu albo o wznowienie ważności tego certyfikatu był składany do Prezesa </w:t>
      </w:r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90 dni </w:t>
      </w:r>
      <w:r w:rsidR="00D43D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planowaną datą rozpoczęcia wnioskowanej działalności (§ 1</w:t>
      </w:r>
      <w:r w:rsidR="0004216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="00A91B8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§ 12 ust. 2 </w:t>
      </w:r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Dla innych rodzajów działalności lotniczej podlegającej procesowi certyfikacji pozostawiono, tak jak dotychczas, </w:t>
      </w:r>
      <w:r w:rsidR="00C80A7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E233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złożenie wniosku o wydanie danego certyfikatu </w:t>
      </w:r>
      <w:r w:rsidR="00F9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 także wniosku o </w:t>
      </w:r>
      <w:r w:rsidR="00F918CF" w:rsidRPr="00E957C7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wznowienie ważności takiego</w:t>
      </w:r>
      <w:r w:rsidR="00F918CF" w:rsidRPr="00E957C7" w:rsidDel="003B2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8CF" w:rsidRPr="00E957C7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certyfikatu, którego ważność wygasła albo była zawieszona dłużej niż przez 12 miesięcy</w:t>
      </w:r>
      <w:r w:rsidR="00F918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918CF" w:rsidRPr="00E95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CB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808F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 dni </w:t>
      </w:r>
      <w:r w:rsidR="001808F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przed planowaną datą rozpoczęcia wnioskowanej działalności 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(§ 1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1B8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808F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CB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E233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na złożenie wniosku o wznowienie ważności danego certyfikatu</w:t>
      </w:r>
      <w:r w:rsidR="00E957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57C7" w:rsidRPr="00E957C7">
        <w:rPr>
          <w:rFonts w:ascii="Times New Roman" w:eastAsiaTheme="minorEastAsia" w:hAnsi="Times New Roman" w:cs="Arial"/>
          <w:sz w:val="24"/>
          <w:szCs w:val="20"/>
          <w:lang w:eastAsia="pl-PL"/>
        </w:rPr>
        <w:t xml:space="preserve"> </w:t>
      </w:r>
      <w:r w:rsidR="00E957C7" w:rsidRPr="00E957C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ważność wygasła albo była zawieszona nie dłużej niż przez 12 miesięcy</w:t>
      </w:r>
      <w:r w:rsidR="00E233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CB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808F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</w:t>
      </w:r>
      <w:r w:rsidR="00CF189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B8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 dni </w:t>
      </w:r>
      <w:r w:rsidR="001808F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przed planowaną datą rozpoczęcia wnioskowanej działalności</w:t>
      </w:r>
      <w:r w:rsidR="007D5CB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(§ 1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D00E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B077E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019EC46" w14:textId="72EA6304" w:rsidR="0011339D" w:rsidRPr="00E26C2C" w:rsidRDefault="0011339D" w:rsidP="003A430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13 projektu uregulowano kwestię składania wniosku o przedłużenie ważności certyfikatu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termin na złożenie takiego wniosku</w:t>
      </w:r>
      <w:r w:rsidR="00D43D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025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jak w rozporządzeniu </w:t>
      </w:r>
      <w:proofErr w:type="spellStart"/>
      <w:r w:rsidR="00B025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B025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E3C4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D43D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40 dni</w:t>
      </w:r>
      <w:r w:rsidR="006E3C43" w:rsidRPr="009221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E3C4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przed datą upływu ważności certyfikatu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Przyjęto, że przy przedłużaniu </w:t>
      </w:r>
      <w:r w:rsidR="00B025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ważności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certyfikatu</w:t>
      </w:r>
      <w:r w:rsidR="00B025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5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zakres złożonego wniosku nie wykracza poza zakres aktualnie posiadanego certyfikatu, specyfikacji</w:t>
      </w:r>
      <w:r w:rsidR="00C313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25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3D4" w:rsidRPr="00C313D4">
        <w:rPr>
          <w:rFonts w:ascii="Times New Roman" w:hAnsi="Times New Roman" w:cs="Times New Roman"/>
          <w:sz w:val="24"/>
          <w:szCs w:val="24"/>
        </w:rPr>
        <w:t xml:space="preserve">zakresów, warunków zatwierdzenia, </w:t>
      </w:r>
      <w:r w:rsidR="00C313D4" w:rsidRPr="00C313D4">
        <w:rPr>
          <w:rFonts w:ascii="Times New Roman" w:hAnsi="Times New Roman" w:cs="Times New Roman"/>
          <w:sz w:val="24"/>
          <w:szCs w:val="24"/>
        </w:rPr>
        <w:lastRenderedPageBreak/>
        <w:t>warunków certyfikatów albo warunków zapewniania służb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508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konieczne składanie dokumentów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są w posiadaniu Urzędu</w:t>
      </w:r>
      <w:r w:rsidR="00FB756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Lotnictwa Cywilnego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lecz wystarczy sam wniosek</w:t>
      </w:r>
      <w:r w:rsidR="00FE508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warunkiem, że dokumenty 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są aktualne. </w:t>
      </w:r>
    </w:p>
    <w:p w14:paraId="2D7C5DD0" w14:textId="53AF0047" w:rsidR="00D60E4D" w:rsidRPr="00E26C2C" w:rsidRDefault="001119D7" w:rsidP="003A430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555B7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wprowadzono rozróżnienie terminów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o rozszerzenie zakresu lub inną zmianę posiadanego certyfikatu 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od tego czy wniosek dotyczy certyfikatu AOC 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później niż 30 dni kalendarzowych przed przewidywaną datą stosowania zmiany</w:t>
      </w:r>
      <w:r w:rsidR="003215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37093861"/>
      <w:r w:rsidR="003215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(§ 14 ust. 2 projektu)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czy inn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ego rodzaju certyfikatu – nie później niż 40 dni kalendarzowych przed przewidywaną datą stosowania zmiany</w:t>
      </w:r>
      <w:r w:rsidR="003215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 14 ust. 1 projektu)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B596355" w14:textId="04F327E2" w:rsidR="00D60E4D" w:rsidRPr="00E26C2C" w:rsidRDefault="00D60E4D" w:rsidP="00D60E4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14 w ust. 3 </w:t>
      </w:r>
      <w:r w:rsidR="00C8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przewidziano, uwzględniając zakres wnioskowanej zmiany, odstąpienie od przeprowadzenia praktycznej weryfikacji spełniania wymagań, ponieważ niektóre zmiany (np. zmiana nazwy, siedziby, adresu do korespondencji) nie wpływają w znaczący sposób na inne aspekty organizacji.</w:t>
      </w:r>
    </w:p>
    <w:p w14:paraId="527CED7B" w14:textId="60F66F99" w:rsidR="00D67C2A" w:rsidRPr="00E26C2C" w:rsidRDefault="00CC3A6F" w:rsidP="003A430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14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pkt 1 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przewidziano, że wniosek o zmianę certyfikatu składa się niezwłocznie po zaistnieniu zmiany także w przypadku nieprzewidzianej zmiany innej niż z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nazwy, siedziby lub adres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 do korespond</w:t>
      </w:r>
      <w:r w:rsidR="002B25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ncji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wnioskującego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„inne nieprzewidziane zmiany” należy rozumieć jako 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F1F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2968B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: zdarzenia losowe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68B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 niespodziewana śmierć kierownika odpowiedzialnego, czy też konieczność wprowadzenia przez posiadacza certyfikatu AOC zaleceń wynikających z Biuletynu Informacji Bezpieczeństwa (SIB), albo zaleceń wnikających z analizy ryzyka przeprowadzonej przez operatora w związku z jakimś zdarzeniem. Mogą to być także zalecenia wynikające z wydanych przez EASA dyrektyw zdatności. Katalog takich nieprzewidzianych zdarzeń jest katalogiem otwartym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</w:t>
      </w:r>
      <w:r w:rsidR="002968B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04216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968B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="002968B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2F67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na złożenie wniosku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F67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certyfikatu AOC</w:t>
      </w:r>
      <w:r w:rsidR="002F67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zmiana dotyczy informacji o operacyjnym punkcie kontaktowym –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20 dni kalendarzowych przed dokonaniem zmiany</w:t>
      </w:r>
      <w:r w:rsidR="00A50DF8" w:rsidRPr="00E26C2C" w:rsidDel="00A50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co wynika z AMC1 ORO.GEN.130, który wskazuje, że </w:t>
      </w:r>
      <w:r w:rsidR="00D832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planowanej zmiany osoby wyznaczonej zgodnie z ORO.GEN.210 lit. b rozporządzenia nr 965/2012 lub kierownika d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2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D832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zgodnie z definicją w AMC1 ORO.GEN.200 (a) (1), operator powinien poinformować właściwy organ co najmniej 20 dni przed datą proponowanej zmiany.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 powyżej normy ujęte w </w:t>
      </w:r>
      <w:r w:rsidR="00F57C3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14 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</w:t>
      </w:r>
      <w:r w:rsidR="00F57C3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skutkują zmianą w § 1</w:t>
      </w:r>
      <w:r w:rsidR="0004216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obecnie obowiązującej regulacji. Zmiana nazwy, siedziby lub adres</w:t>
      </w:r>
      <w:r w:rsidR="00A50D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korespondencji 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podmiotu wnioskującego czy zmiana 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kontaktowego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8B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certyfikatu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AOC</w:t>
      </w:r>
      <w:r w:rsidR="002968B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etapu 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praktycznej</w:t>
      </w:r>
      <w:r w:rsidR="003A43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weryfikacji spełnienia wymagań, ponieważ są to drobne zmiany formalne po stronie podmiotu. Inaczej jest w przypadku innych 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nieprzewidzianych zmian – wówczas ze względów bezpieczeństwa oraz szczególnego charakteru tych zmian tzn. ich nieprzewidywalności, zachodzi konieczność przeprowadzenia </w:t>
      </w:r>
      <w:r w:rsidR="0011339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</w:t>
      </w:r>
      <w:r w:rsidR="00D832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j weryfikacji spełnienia wymagań</w:t>
      </w:r>
      <w:r w:rsidR="00D67C2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DAF7C33" w14:textId="0F18134B" w:rsidR="001951A1" w:rsidRPr="00E26C2C" w:rsidRDefault="00D67C2A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DC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E8696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BE6A7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powtórzenie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obecnej</w:t>
      </w:r>
      <w:r w:rsidR="007A031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regulacji</w:t>
      </w:r>
      <w:r w:rsidR="00E8696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19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wymaga</w:t>
      </w:r>
      <w:r w:rsidR="00BE6A7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</w:t>
      </w:r>
      <w:r w:rsidR="000809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awarte w </w:t>
      </w:r>
      <w:r w:rsidR="00E8696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przepisie</w:t>
      </w:r>
      <w:r w:rsidR="000809F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sformułowanie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„istotne zmiany organizacyjne lub kadrowe” należy rozmieć, jako zmianę struktury (</w:t>
      </w:r>
      <w:r w:rsidR="00AA288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nowych działów w podmiocie lotniczym), zmianę osób funkcyjnych oraz inne zmiany kadrowe.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rozwiązaniem jest opisan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E6A7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15 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 w:rsidR="00BE6A7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F1376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zastrzeżenie, że złożenie wniosku o wydanie</w:t>
      </w:r>
      <w:r w:rsidR="009A219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certyfikatu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151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zakresu lub inną zmianę posiadanego certyfikatu,</w:t>
      </w:r>
      <w:r w:rsidR="0051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</w:t>
      </w:r>
      <w:r w:rsidR="009A219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ważności certyfikatu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151F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wznowienie ważności certyfikatu, 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terminie przewidzianym na złożenie danego wniosku, będzie skutkowało pozostawieniem </w:t>
      </w:r>
      <w:r w:rsidR="007C03C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rozpoznania. </w:t>
      </w:r>
    </w:p>
    <w:p w14:paraId="5B39EC19" w14:textId="29A8CB83" w:rsidR="00E30903" w:rsidRPr="00E26C2C" w:rsidRDefault="00491273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16 </w:t>
      </w:r>
      <w:r w:rsidR="0051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 czynności zespołu certyfikującego przystępującego do etapu praktycznej weryfikacji spełnienia wymagań, tj. po pozytywnym zakończeniu etapu oceny dokumentacji oraz otrzymaniu od podmiotu wnioskującego pisemnego oświadczenia o gotowości do podania się praktycznej weryfikacji spełnienia wymagań.</w:t>
      </w:r>
    </w:p>
    <w:p w14:paraId="630DB162" w14:textId="66BDFC93" w:rsidR="00A717F2" w:rsidRPr="00E26C2C" w:rsidRDefault="00AF2393" w:rsidP="00BF5DE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17 </w:t>
      </w:r>
      <w:r w:rsidR="0051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wskazano, że zakres praktycznej weryfikacji </w:t>
      </w:r>
      <w:r w:rsidR="00AB761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wymagań określają przepisy rozdziału 5.</w:t>
      </w:r>
    </w:p>
    <w:p w14:paraId="7CB049E6" w14:textId="052EBA97" w:rsidR="00A717F2" w:rsidRPr="00E26C2C" w:rsidRDefault="00BF5DE0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18 </w:t>
      </w:r>
      <w:r w:rsidR="00515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3E598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uregulowano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testów praktycznych 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przeprowadzanych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8B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AOC i certyfikatu </w:t>
      </w:r>
      <w:r w:rsidR="00DB7CA8" w:rsidRPr="00E26C2C">
        <w:rPr>
          <w:rFonts w:ascii="Times New Roman" w:hAnsi="Times New Roman" w:cs="Times New Roman"/>
          <w:sz w:val="24"/>
          <w:szCs w:val="24"/>
        </w:rPr>
        <w:t>FISP TO</w:t>
      </w:r>
      <w:r w:rsidR="004A04BF" w:rsidRPr="00E26C2C">
        <w:rPr>
          <w:rFonts w:ascii="Times New Roman" w:hAnsi="Times New Roman" w:cs="Times New Roman"/>
          <w:sz w:val="24"/>
          <w:szCs w:val="24"/>
        </w:rPr>
        <w:t>.</w:t>
      </w:r>
    </w:p>
    <w:p w14:paraId="6F5E09FC" w14:textId="7C17A1D8" w:rsidR="004A04BF" w:rsidRPr="00E26C2C" w:rsidRDefault="004A04BF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19 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określono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Prezesa Urzędu w przypadku, gdy w trakcie realizacji etapu praktycznej weryfikacji spełnienia wymagań zostanie stwierdzone, że podmiot wnioskujący o wydanie certyfikatu nie spełnia wymagań mających zastosowanie do działalności 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>w lotnictwie cywilnym</w:t>
      </w:r>
      <w:r w:rsidR="00BE33B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podlegającej certyfikacji.</w:t>
      </w:r>
    </w:p>
    <w:p w14:paraId="3985FE6E" w14:textId="39F6EE94" w:rsidR="004A04BF" w:rsidRPr="00E26C2C" w:rsidRDefault="004A04BF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20 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zobowiązano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wnioskujący o wydanie </w:t>
      </w:r>
      <w:r w:rsidRPr="00E26C2C">
        <w:rPr>
          <w:rFonts w:ascii="Times New Roman" w:hAnsi="Times New Roman" w:cs="Times New Roman"/>
          <w:sz w:val="24"/>
          <w:szCs w:val="24"/>
        </w:rPr>
        <w:t>certyfikatu AOC i certyfikatu</w:t>
      </w:r>
      <w:r w:rsidR="00BE33B1">
        <w:rPr>
          <w:rFonts w:ascii="Times New Roman" w:hAnsi="Times New Roman" w:cs="Times New Roman"/>
          <w:sz w:val="24"/>
          <w:szCs w:val="24"/>
        </w:rPr>
        <w:t xml:space="preserve"> </w:t>
      </w:r>
      <w:r w:rsidRPr="00E26C2C">
        <w:rPr>
          <w:rFonts w:ascii="Times New Roman" w:hAnsi="Times New Roman" w:cs="Times New Roman"/>
          <w:sz w:val="24"/>
          <w:szCs w:val="24"/>
        </w:rPr>
        <w:t>ATO</w:t>
      </w:r>
      <w:r w:rsidR="00BE33B1">
        <w:rPr>
          <w:rFonts w:ascii="Times New Roman" w:hAnsi="Times New Roman" w:cs="Times New Roman"/>
          <w:sz w:val="24"/>
          <w:szCs w:val="24"/>
        </w:rPr>
        <w:t xml:space="preserve"> do dostarczenia</w:t>
      </w:r>
      <w:r w:rsidR="0099341F" w:rsidRPr="00E26C2C">
        <w:rPr>
          <w:rFonts w:ascii="Times New Roman" w:hAnsi="Times New Roman" w:cs="Times New Roman"/>
          <w:sz w:val="24"/>
          <w:szCs w:val="24"/>
        </w:rPr>
        <w:t xml:space="preserve"> dokumentu potwierdzającego prawo do dysponowania statkami powietrznymi, które będą wykorzystywane do prowadzenia wskazanej we wniosku działalności oraz oświadczenia, że złożył wniosek o zmianę danych rejestrowych</w:t>
      </w:r>
      <w:r w:rsidR="00BE33B1">
        <w:rPr>
          <w:rFonts w:ascii="Times New Roman" w:hAnsi="Times New Roman" w:cs="Times New Roman"/>
          <w:sz w:val="24"/>
          <w:szCs w:val="24"/>
        </w:rPr>
        <w:t>.</w:t>
      </w:r>
      <w:r w:rsidR="0099341F" w:rsidRPr="00E2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B4BC3" w14:textId="75EFB364" w:rsidR="003E5985" w:rsidRPr="00E26C2C" w:rsidRDefault="003E5985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21 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przedstawiono terminy przedłużenia ważności certyfikatu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E33B1" w:rsidRP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nie dłuższy niż 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i </w:t>
      </w:r>
      <w:r w:rsidR="00400E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33B1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2B4654" w14:textId="77777777" w:rsidR="003E5985" w:rsidRPr="00E26C2C" w:rsidRDefault="003E5985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C754F" w14:textId="058A4F68" w:rsidR="00741511" w:rsidRPr="00E26C2C" w:rsidRDefault="00D67C2A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 </w:t>
      </w:r>
      <w:r w:rsidR="00DF202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wymagania formalne w zakresie wniosku o wydanie certyfikatu</w:t>
      </w:r>
      <w:r w:rsidR="0067263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 </w:t>
      </w:r>
      <w:r w:rsidR="005269A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63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projektu) 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dokumentów składanych w procesie certyfikacji</w:t>
      </w:r>
      <w:r w:rsidR="0067263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 </w:t>
      </w:r>
      <w:r w:rsidR="005269A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B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63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projektu)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Co do zasady w rozdziale tym zachowano konstrukcję z rozporządzenia </w:t>
      </w:r>
      <w:proofErr w:type="spellStart"/>
      <w:r w:rsidR="002A6D4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6D4E29" w14:textId="42E15252" w:rsidR="00D67C2A" w:rsidRPr="00E26C2C" w:rsidRDefault="00FD7437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certyfikatów dotyczących </w:t>
      </w:r>
      <w:r w:rsidR="0074151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zdatności do lotu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nową regulacją jest kwestia przeprowadzania procesu certyfikacji w przypadku gdy podmiot chce prowadzić działalność </w:t>
      </w:r>
      <w:r w:rsidR="0074151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odpowiadających sobie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zakresach</w:t>
      </w:r>
      <w:r w:rsidR="0074151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unijnego i prawa polskiego</w:t>
      </w:r>
      <w:r w:rsidR="00071E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 </w:t>
      </w:r>
      <w:r w:rsidR="003534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E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projektu)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takim przypadku będzie prowadzony jeden proces certyfikacyjny, zakończony wydaniem jednej decyzji administracyjnej, do której załącznikami będą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="000727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i dla każdego z nich </w:t>
      </w:r>
      <w:r w:rsidR="000727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załączone zakresy zatwierdzeń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(jeden na krajowe statki powietrzne lub inny sprzęt lotniczy, drugi na unijne statki powietr</w:t>
      </w:r>
      <w:r w:rsidR="000727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zne lub innych sprzęt lotniczy).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natomiast z </w:t>
      </w:r>
      <w:r w:rsidR="00E366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5341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C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</w:t>
      </w:r>
      <w:r w:rsidR="00E366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opisanym w ust. 3</w:t>
      </w:r>
      <w:r w:rsidR="00071E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certyfikat dotyczy statków powietrznych </w:t>
      </w:r>
      <w:r w:rsidR="00071E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sprzętu lotniczego </w:t>
      </w:r>
      <w:r w:rsidR="00071E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I do rozporządzenia nr 2018/1139</w:t>
      </w:r>
      <w:r w:rsidR="00071E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stanowi </w:t>
      </w:r>
      <w:r w:rsidR="00071E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dodatek do certyfikatu unijnego. Taka regulacja ma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służyć temu 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proces certyfikacji danej organizacji, która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chce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wykonywać czynności wobec unijnych i krajowych statków powietrznych mogła być poddan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 sprawdzeniu podczas jednego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certyfikacji – co ułatwi i skróci czas uz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nią certyfikatów,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jednocześnie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pozw</w:t>
      </w:r>
      <w:r w:rsidR="00E366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nadzorowi lotniczemu prowadzić sprawdzenie czy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dana organizacja spełnia nadal wymagania i wykonuje czynności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przyznanymi certyfikatami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jednym sprawdzeniem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 postępowaniu kontro</w:t>
      </w:r>
      <w:r w:rsidR="0032076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r w:rsidR="00144B9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2116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r w:rsidR="000727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certyfikatów</w:t>
      </w:r>
      <w:r w:rsidR="00C2116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unijnych</w:t>
      </w:r>
      <w:r w:rsidR="000727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62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AMO, CAMO, CAO i POA</w:t>
      </w:r>
      <w:r w:rsidR="001B0EF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116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w przypadku certyfikatów krajowych stanowiących do nich załączniki,</w:t>
      </w:r>
      <w:r w:rsidR="000727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specyfika będzie opisana w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zakresach zatwierdzeń</w:t>
      </w:r>
      <w:r w:rsidR="000727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2116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E309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2116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</w:t>
      </w:r>
      <w:r w:rsidR="0043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C2116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 warunkach zachowania ważności certyfikatu krajowego wydanego jako załącznik do certyfikatu unijnego. Z przepisu wynika, że warunkiem utrzymania ważności takiego certyfikatu jest posiadanie ważnego certyfikatu unijnego.</w:t>
      </w:r>
    </w:p>
    <w:p w14:paraId="1CF6F038" w14:textId="7FDC1C72" w:rsidR="0035341E" w:rsidRPr="00E26C2C" w:rsidRDefault="0035341E" w:rsidP="003534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23 w ust. 1 projektu wskazano dokumenty, które należy dołączyć do wniosku </w:t>
      </w:r>
      <w:r w:rsidR="00C4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</w:t>
      </w:r>
      <w:r w:rsidR="00C439E3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706E8" w14:textId="4E229A35" w:rsidR="0035341E" w:rsidRPr="00E26C2C" w:rsidRDefault="00E30903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23 w ust. 2 </w:t>
      </w:r>
      <w:r w:rsidR="00FF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przewidziano, że w</w:t>
      </w:r>
      <w:r w:rsidRPr="00E26C2C">
        <w:rPr>
          <w:rFonts w:ascii="Times New Roman" w:hAnsi="Times New Roman" w:cs="Times New Roman"/>
          <w:sz w:val="24"/>
          <w:szCs w:val="24"/>
        </w:rPr>
        <w:t xml:space="preserve"> przypadku wniosku o wydanie certyfikatu organizacji lub ośrodka szkolenia lotniczego, w miejsce kopii wypisu</w:t>
      </w:r>
      <w:r w:rsidR="00FF4E2A">
        <w:rPr>
          <w:rFonts w:ascii="Times New Roman" w:hAnsi="Times New Roman" w:cs="Times New Roman"/>
          <w:sz w:val="24"/>
          <w:szCs w:val="24"/>
        </w:rPr>
        <w:t xml:space="preserve"> z właściwego rejestru albo ewidencji, będzie możliwe </w:t>
      </w:r>
      <w:r w:rsidR="00FF4E2A" w:rsidRPr="00E26C2C">
        <w:rPr>
          <w:rFonts w:ascii="Times New Roman" w:hAnsi="Times New Roman" w:cs="Times New Roman"/>
          <w:sz w:val="24"/>
          <w:szCs w:val="24"/>
        </w:rPr>
        <w:t>złoż</w:t>
      </w:r>
      <w:r w:rsidR="00FF4E2A">
        <w:rPr>
          <w:rFonts w:ascii="Times New Roman" w:hAnsi="Times New Roman" w:cs="Times New Roman"/>
          <w:sz w:val="24"/>
          <w:szCs w:val="24"/>
        </w:rPr>
        <w:t>enie</w:t>
      </w:r>
      <w:r w:rsidR="00FF4E2A" w:rsidRPr="00E26C2C">
        <w:rPr>
          <w:rFonts w:ascii="Times New Roman" w:hAnsi="Times New Roman" w:cs="Times New Roman"/>
          <w:sz w:val="24"/>
          <w:szCs w:val="24"/>
        </w:rPr>
        <w:t xml:space="preserve"> kopi</w:t>
      </w:r>
      <w:r w:rsidR="00FF4E2A">
        <w:rPr>
          <w:rFonts w:ascii="Times New Roman" w:hAnsi="Times New Roman" w:cs="Times New Roman"/>
          <w:sz w:val="24"/>
          <w:szCs w:val="24"/>
        </w:rPr>
        <w:t>i</w:t>
      </w:r>
      <w:r w:rsidR="00FF4E2A" w:rsidRPr="00E26C2C">
        <w:rPr>
          <w:rFonts w:ascii="Times New Roman" w:hAnsi="Times New Roman" w:cs="Times New Roman"/>
          <w:sz w:val="24"/>
          <w:szCs w:val="24"/>
        </w:rPr>
        <w:t xml:space="preserve"> </w:t>
      </w:r>
      <w:r w:rsidRPr="00E26C2C">
        <w:rPr>
          <w:rFonts w:ascii="Times New Roman" w:hAnsi="Times New Roman" w:cs="Times New Roman"/>
          <w:sz w:val="24"/>
          <w:szCs w:val="24"/>
        </w:rPr>
        <w:t>aktu założycielskiego szkoły lub placówki publicznej albo wyciągu z rejestru szkół i placówek oświatowych</w:t>
      </w:r>
      <w:r w:rsidR="00DE4808">
        <w:rPr>
          <w:rFonts w:ascii="Times New Roman" w:hAnsi="Times New Roman" w:cs="Times New Roman"/>
          <w:sz w:val="24"/>
          <w:szCs w:val="24"/>
        </w:rPr>
        <w:t>.</w:t>
      </w:r>
    </w:p>
    <w:p w14:paraId="2E5C5B7A" w14:textId="7B43C8FE" w:rsidR="00C2116D" w:rsidRPr="00E26C2C" w:rsidRDefault="00C2116D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E3090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uregulowano </w:t>
      </w:r>
      <w:r w:rsidR="00633F4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przeprowadzania procesu rozszerzenia zakresu posiadanego certyfikatu lub wprowadzania </w:t>
      </w:r>
      <w:r w:rsidR="00FF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="00633F4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certyfikacie. Istotne jest uregulowanie rozszerzenia certyfikatu krajowego stanowiącego dodatek do certyfikatu unijnego, o którym mowa w § </w:t>
      </w:r>
      <w:r w:rsidR="008A0D1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33F4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</w:t>
      </w:r>
      <w:r w:rsidR="00FF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633F4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 zakres, który wykracza poza zakres albo warunki zatwierdzenia certyfikatu, do którego stanowi dodatek.</w:t>
      </w:r>
      <w:r w:rsidR="003D10A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 jednoznacznie stanowi, że brak jest takiej możliwości, takie rozszerzenie wiąże się z tym, że certyfikat traci status krajowego dodatku. Taki certyfikat podlega pełnej procedurze certyfikacji i odrębnemu </w:t>
      </w:r>
      <w:r w:rsidR="003D10A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procesowi nadzoru i opłat z tego tytułu.</w:t>
      </w:r>
    </w:p>
    <w:p w14:paraId="2BBBA1A8" w14:textId="77777777" w:rsidR="00E30903" w:rsidRPr="00E26C2C" w:rsidRDefault="00E30903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E3655" w14:textId="1A59EF6C" w:rsidR="00D67C2A" w:rsidRPr="00E26C2C" w:rsidRDefault="002968B7" w:rsidP="00D67C2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5 </w:t>
      </w:r>
      <w:r w:rsidR="001B0EF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szczegółow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e wymagania</w:t>
      </w:r>
      <w:r w:rsidR="007051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515F" w:rsidRPr="0092218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051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powinien spełnić podmiot w procesie certyfikacji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poszczególnych rodzajów certyfikatów</w:t>
      </w:r>
      <w:r w:rsidR="00A02F8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 25–38 projektu)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159D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Zasadniczym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przepisów tego rozdziału jest jedynie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 umieszcz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rozporządzeniu, tzw. norm odniesienia, czyli norm prawnych, które musz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oceny spełnienia wymagań poszczególnych rodzajów certyfikatów, a które to normy w zdecydowanej większości rodzajów certyfikatów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1159D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stosownych akt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="001159D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prawa międzynarodowego, unijnego lub krajowego.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Analogiczna sytuacja dotyczy wz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certyfikatów oraz specyfikacji </w:t>
      </w:r>
      <w:r w:rsidR="001546F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zakresów i warunków zatwierdzenia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nich. W poszczególnych przepisach tego rozdziału w odniesieniu do wzorów certyfikatów oraz specyfikacji </w:t>
      </w:r>
      <w:r w:rsidR="001546F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zakresów i warunków zatwierdzenia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</w:t>
      </w:r>
      <w:r w:rsidR="003121F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odesłanie do stosownych przepisów unijnych. </w:t>
      </w:r>
    </w:p>
    <w:p w14:paraId="0FE71AA5" w14:textId="68B117E0" w:rsidR="00003C05" w:rsidRPr="00E26C2C" w:rsidRDefault="00503A1D" w:rsidP="00F01A6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określa w załącznikach nr 2</w:t>
      </w:r>
      <w:r w:rsidR="007A031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A01C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ory dla takich działalności, których certyfikaty wymagają osobnego wzoru. Taki wzór jest konieczny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1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AOC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określono go więc w załączniku nr 2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atomiast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nr 3 i 4 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</w:t>
      </w:r>
      <w:r w:rsidR="003A08C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9A50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kategorii danego lotniska: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certyfikatu </w:t>
      </w:r>
      <w:r w:rsidR="007051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ADRC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6317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 w:rsidR="004631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6317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certyfikatu lotniska</w:t>
      </w:r>
      <w:r w:rsidR="009A50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A08C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certyfikatu ADRC oraz </w:t>
      </w:r>
      <w:r w:rsidR="0046317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</w:t>
      </w:r>
      <w:r w:rsidR="004631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6317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lotniska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A01C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Osobne wzory ujęte w załącznika</w:t>
      </w:r>
      <w:r w:rsidR="003A08C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FA01C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</w:t>
      </w:r>
      <w:r w:rsidR="003A08C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A01C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7 zostały przewidziane dla certyfikatów krajowych i dodatków do certyfik</w:t>
      </w:r>
      <w:r w:rsidR="00801CD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FA01C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z obszaru techniki lotniczej i ich zakresów zatwierdzeń. 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pozostałych rodzajów działalności lotniczej określono wspólny wzór, którego brzmienie znajduje się w załączniku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003C05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F5F586" w14:textId="79FC5096" w:rsidR="00974689" w:rsidRPr="00E26C2C" w:rsidRDefault="00974689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lotnisk dokonano zmian 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obecnie stosowan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wzorów certyfikatów dedykowan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podmiotom wnio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kującym o certyfikat </w:t>
      </w:r>
      <w:r w:rsidR="00CF658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ADRC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F658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oraz 4 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uaktualni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e wydawania tych certyfikatów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ujednolic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struktury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wzorów </w:t>
      </w:r>
      <w:r w:rsidR="00397579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</w:t>
      </w:r>
      <w:r w:rsidR="00CF658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certyfikatu 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lotniska – w przypadku załącznika nr 3 oraz specyfikacji do certyfikatu lotniska – w przypadku załącznik</w:t>
      </w:r>
      <w:r w:rsidR="00CF658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3C1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B28F16" w14:textId="77777777" w:rsidR="00870502" w:rsidRDefault="00870502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8D765" w14:textId="71BF8CF9" w:rsidR="004F6BAA" w:rsidRPr="00E26C2C" w:rsidRDefault="004F6BAA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6 </w:t>
      </w:r>
      <w:r w:rsidR="003131E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warunki oraz tryb uznawania certyfikatów zagranicznych. Postępowanie w sprawie uznania certyfikatu </w:t>
      </w:r>
      <w:r w:rsidR="00D832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zagranicznego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wszczynane będzie tak jak dotychczas na wniosek zainteresowanego podmiotu</w:t>
      </w:r>
      <w:r w:rsidR="00A955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 39 </w:t>
      </w:r>
      <w:r w:rsidR="001546F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A955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546F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39 w ust. 2 projektu </w:t>
      </w:r>
      <w:r w:rsidR="00DF78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wskazano, co w szczególności powinien zawierać taki wniosek.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§ 4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5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 rodzaje dokumentów, które muszą być </w:t>
      </w:r>
      <w:r w:rsidR="00A955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955F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stosunku do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rozporządzenia </w:t>
      </w:r>
      <w:proofErr w:type="spellStart"/>
      <w:r w:rsidR="008511E2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wprowadzono zmiany polegające na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rozróżnieniu dokumentów potrzebnych do uznania certyfikatu AOC </w:t>
      </w:r>
      <w:r w:rsidR="00FA177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(§ 40 ust. 2 projektu)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rodzajów certyfikatów</w:t>
      </w:r>
      <w:r w:rsidR="00FA177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 40 ust. 1 projektu)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z obszaru techniki lotniczej</w:t>
      </w:r>
      <w:r w:rsidR="00AE5D2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78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od § 41 </w:t>
      </w:r>
      <w:r w:rsidR="00E3126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F78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26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 </w:t>
      </w:r>
      <w:r w:rsidR="00DF783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C5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E3126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powielają regulacje zawarte w rozporządzeniu </w:t>
      </w:r>
      <w:proofErr w:type="spellStart"/>
      <w:r w:rsidR="00C52C4C">
        <w:rPr>
          <w:rFonts w:ascii="Times New Roman" w:eastAsia="Times New Roman" w:hAnsi="Times New Roman" w:cs="Times New Roman"/>
          <w:sz w:val="24"/>
          <w:szCs w:val="24"/>
          <w:lang w:eastAsia="pl-PL"/>
        </w:rPr>
        <w:t>MIiB</w:t>
      </w:r>
      <w:proofErr w:type="spellEnd"/>
      <w:r w:rsidR="00C5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26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określają zasady dokonywania oceny wstępnej zgodności certyfikatu zagranicznego.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</w:t>
      </w:r>
      <w:r w:rsidR="00CF4F1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26E8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="00CF4F1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375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którym,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uznawania certyfikatu </w:t>
      </w:r>
      <w:r w:rsidR="00E562A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zagranicznego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obsługi technicznej</w:t>
      </w:r>
      <w:r w:rsidR="007C2F5E" w:rsidRPr="00E26C2C" w:rsidDel="007C2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dodatkowym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jego uznania przez Prezesa Urzędu </w:t>
      </w:r>
      <w:r w:rsidR="00CE6D5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CE6D5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porozumienia dotyczącego współpracy Prezesa Urzędu z właściwym organem państwa, </w:t>
      </w:r>
      <w:r w:rsidR="0090375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wydał</w:t>
      </w:r>
      <w:r w:rsidR="0090375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zagraniczny organizacji obsługi technicznej, w zakresie prowadzenia nadzoru bieżącego oraz wymiany informacji związanych z bezpieczeństwem </w:t>
      </w:r>
      <w:r w:rsidR="00CE6D5D" w:rsidRPr="00CE6D5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 wyrobów, części, urządzeń, osób lub organizacji</w:t>
      </w:r>
      <w:r w:rsidR="00CE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jest implementacją do polskiego porządku prawnego pkt 6.2.6 Załącznika 8 do Konwencji o międzynarodowym lotnictwie cywilnym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sporządzonej w Chicago dnia 7 grudnia 1944 r. (Dz. U. z 1959 r. poz. 212</w:t>
      </w:r>
      <w:r w:rsidR="0090375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214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7C2F5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90FEBA1" w14:textId="77777777" w:rsidR="000C7271" w:rsidRPr="00E26C2C" w:rsidRDefault="000C7271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BFCA1" w14:textId="5904B6E2" w:rsidR="001315A2" w:rsidRPr="00E26C2C" w:rsidRDefault="001315A2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 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określa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przesłanki, na podstawie których Prezes Urzędu zawiesza certyfikat w całości lub w części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 uprawnienia 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certyfikatu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cofa certyfikat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rozdziale określono również wymagania programu naprawczego (§ 4</w:t>
      </w:r>
      <w:r w:rsidR="000C727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projektu).</w:t>
      </w:r>
    </w:p>
    <w:p w14:paraId="3043764F" w14:textId="2C4F8013" w:rsidR="000C7271" w:rsidRPr="00E26C2C" w:rsidRDefault="001315A2" w:rsidP="000C727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§ 4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C727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6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przesłanki zawieszenia certyfikatu w całości lub w części, 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nastąpić jeżeli uprzednio wezwany 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posiadacz certyfikatu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przywróci stanu zgodnego z przepisami prawa, a także na wniosek posiadacza certyfikatu. </w:t>
      </w:r>
    </w:p>
    <w:p w14:paraId="52A79C81" w14:textId="21DD436B" w:rsidR="001315A2" w:rsidRPr="00E26C2C" w:rsidRDefault="001315A2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posiadacz certyfikatu w terminie, na jaki ten certyfikat </w:t>
      </w:r>
      <w:r w:rsidR="000D31F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zawieszony w całości, nie usunie 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niezgodności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Prezes Urzędu cofa certyfikat (§ 4</w:t>
      </w:r>
      <w:r w:rsidR="000C7271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F856B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Natomiast w przypadku gdy posiadacz certyfikatu w terminie, na jaki certyfikat </w:t>
      </w:r>
      <w:r w:rsidR="000D31F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zawieszony w części, nie usunie 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niezgodności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Urzędu ogranicza uprawnienia wynikające z certyfikatu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6D3F" w:rsidRPr="00E26C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stosunku do uprawnień, 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których nie zostały usunięte niezgodności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 4</w:t>
      </w:r>
      <w:r w:rsidR="00EF49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6807E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32BEFE9" w14:textId="22D499AE" w:rsidR="006807EB" w:rsidRPr="00E26C2C" w:rsidRDefault="006807EB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</w:t>
      </w:r>
      <w:r w:rsidR="00EF49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0D31F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ograniczeń uprawnień wynikających z certyfikatu</w:t>
      </w:r>
      <w:r w:rsidR="000D31F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zaproponowano konstrukcję analogiczną do częściowego zawieszenia certyfikatu. </w:t>
      </w:r>
    </w:p>
    <w:p w14:paraId="479F7877" w14:textId="5C902B62" w:rsidR="006807EB" w:rsidRPr="00E26C2C" w:rsidRDefault="006807EB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ujęte w § 4</w:t>
      </w:r>
      <w:r w:rsidR="00CE446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cofnięcia certyfikatu w </w:t>
      </w:r>
      <w:r w:rsidR="00D832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szczególnych, tj. w sytuacji gdy stwierdzone niezgodności powodują, że dalsze prowadzenie działalności przez posiadacza certyfikatu zagraża życiu 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zdrowiu ludzi lub porządkowi publicznemu. W takim przypadku nie powinno być etapu zawieszania certyfikatu lecz od razu powinno mieć miejsce wezwanie do usunięcia naruszeń pod rygorem cofnięcia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D3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certyfikatu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Również w tym przypadku certyfikat może być cofnięty na wniosek podmiotu. </w:t>
      </w:r>
    </w:p>
    <w:p w14:paraId="400E9E3D" w14:textId="77777777" w:rsidR="000204DD" w:rsidRPr="00E26C2C" w:rsidRDefault="000204DD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D3743" w14:textId="1101492B" w:rsidR="006807EB" w:rsidRPr="00E26C2C" w:rsidRDefault="006807EB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regulacje określające sposób sprawowania przez Prezesa Urzędu </w:t>
      </w:r>
      <w:r w:rsidR="00D832E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nad posiadaczami certyfikatu. W przepisach tego rozdziału ograniczono się jednak jedynie do wskazani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obszarów, które są objęte 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tym nadzorem (§ 4</w:t>
      </w:r>
      <w:r w:rsidR="000204D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projektu)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w §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204D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55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Prezes Urzędu ma prawo zwrócić się do nadzorowanego podmiotu </w:t>
      </w:r>
      <w:r w:rsidR="000D31F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wyjaśnień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45F5D6" w14:textId="77777777" w:rsidR="000B2CD3" w:rsidRPr="00E26C2C" w:rsidRDefault="000B2CD3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28EFF" w14:textId="1E6977F0" w:rsidR="00627A09" w:rsidRPr="00E26C2C" w:rsidRDefault="000B2CD3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9 zawiera przepisy przejściowe i końcowe.</w:t>
      </w:r>
      <w:r w:rsidR="00C43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0204DD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i § 5</w:t>
      </w:r>
      <w:r w:rsidR="00627A0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25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przesądzono, że do postępowań o wydanie</w:t>
      </w:r>
      <w:r w:rsidR="009E7AA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certyfikatu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046F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zmianę, w tym rozszerzenie zakresu lub ograniczenie uprawnienia wynikającego z certyfikatu,</w:t>
      </w:r>
      <w:r w:rsidR="0060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6F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ważności certyfikatu</w:t>
      </w:r>
      <w:r w:rsidR="0060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wznowienie ważności</w:t>
      </w:r>
      <w:r w:rsidR="009E7AAA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certyfikatu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do postępowań o uznanie certyfikatu zagranicznego, o których mowa w art. 162a ust. 1 ustawy</w:t>
      </w:r>
      <w:r w:rsidR="0005682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lotnicze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wszczętych i niezakończonych przed dniem wejścia w życie </w:t>
      </w:r>
      <w:r w:rsidR="0005682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projektowanego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r w:rsidR="005E2D2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stosowane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dotychczasowe. </w:t>
      </w:r>
    </w:p>
    <w:p w14:paraId="009DE181" w14:textId="6878AC03" w:rsidR="000D31FD" w:rsidRPr="00E26C2C" w:rsidRDefault="00627A09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 o zawieszenie</w:t>
      </w:r>
      <w:r w:rsidR="0005682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certyfikatu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ograniczenie uprawnień </w:t>
      </w:r>
      <w:r w:rsidR="0005682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5682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certyfikatu albo</w:t>
      </w:r>
      <w:r w:rsidR="00056829" w:rsidRPr="00E26C2C" w:rsidDel="0005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682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certyfikatu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wszczęte i niezakończone przed dniem wejścia w życie </w:t>
      </w:r>
      <w:r w:rsidR="00056829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projektowanego 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4F7A2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odbywały na</w:t>
      </w:r>
      <w:r w:rsidR="001340A7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</w:t>
      </w:r>
      <w:r w:rsidR="00C74A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dotychczasowych</w:t>
      </w:r>
      <w:r w:rsidR="005E2D2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 5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2D2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projektu)</w:t>
      </w:r>
      <w:r w:rsidR="00D51BA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54C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1A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§ 5</w:t>
      </w:r>
      <w:r w:rsidR="001B01D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821A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D9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F821A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certyfikaty wydane na podstawie przepisów dotychczasowych zachowają ważność przez okres, na jaki zostały wydane – chyba że przepisy </w:t>
      </w:r>
      <w:r w:rsidR="00216E24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="00F821A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inaczej.</w:t>
      </w:r>
      <w:r w:rsidR="00660D9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Certyfikaty</w:t>
      </w:r>
      <w:r w:rsidR="001B01D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zagraniczne</w:t>
      </w:r>
      <w:r w:rsidR="00660D9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na podstawie przepisów dotychczasowych </w:t>
      </w:r>
      <w:r w:rsidR="004F7A2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</w:t>
      </w:r>
      <w:r w:rsidR="004F7A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F7A2E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="00660D9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ważność </w:t>
      </w:r>
      <w:r w:rsidR="004F7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na jaki zostały </w:t>
      </w:r>
      <w:r w:rsidR="002E735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r w:rsidR="004F7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D9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(§ 5</w:t>
      </w:r>
      <w:r w:rsidR="00115DA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0D9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projektu).</w:t>
      </w:r>
    </w:p>
    <w:p w14:paraId="43E0D560" w14:textId="1F49DCED" w:rsidR="00884198" w:rsidRPr="00E26C2C" w:rsidRDefault="009654CF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termin </w:t>
      </w:r>
      <w:r w:rsidR="0042312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rozporządzenia wykonawczego Komisji (UE) 2019/1383 z dnia 8 lipca 2019 r. w sprawie zmiany i </w:t>
      </w:r>
      <w:r w:rsidR="0042312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(UE) nr 1321/2014 w zakresie systemów zarządzania bezpieczeństwem w organizacjach zarządzania ciągłą zdatnością do lotu oraz złagodzenia wymagań dotyczących obsługi technicznej i zarządzania ciągłą zdatnością do lotu w stosunku do statków powietrznych lotnictwa ogólnego (Dz. Urz. UE L 228 z 04.09.</w:t>
      </w:r>
      <w:r w:rsidR="0042312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str. 1, z </w:t>
      </w:r>
      <w:proofErr w:type="spellStart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tj. </w:t>
      </w:r>
      <w:r w:rsidR="0042312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24 marca 2020 r. – oraz prawdopodobnego funkcjonowania w obrocie prawnym przez okres przejściowy (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do 24 marca 2021 r.) zarówno certyfikatów AMO i certyfikatów CAMO oraz nowych certyfikatów CAO – w przepisach § 5</w:t>
      </w:r>
      <w:r w:rsidR="00115DA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D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D3CBC" w:rsidRPr="009D3CB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1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312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15DA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312C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wskazano, że dotychczasowe certyfikaty objęte tą regulacją 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ważność ale nie dłużej niż pozwalają na to </w:t>
      </w:r>
      <w:r w:rsidR="006B2B8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unijne, tj. do dnia określonego w art. 4 ust. 2 rozporządzenia nr 1321/2014.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omawianych przepisach zdecydowano się na odesłanie do przepisu rozporządzenia unijnego z uwagi na fakt, że termin wskazany w art. 4 ust. 2 rozporządzenia nr 1321/2014 był już raz zmieniony i zachodzi 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uzasadnione 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przypuszczenie </w:t>
      </w:r>
      <w:r w:rsidR="00AC623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(oparte na informacjach pochodzących </w:t>
      </w:r>
      <w:r w:rsidR="00DA1746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C623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organów </w:t>
      </w:r>
      <w:r w:rsidR="009D3CBC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="00AC623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może być </w:t>
      </w:r>
      <w:r w:rsidR="00AC623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zmieniony. Zasadne jest więc nie wpisywanie w przepisie przejściowym sztywnej daty</w:t>
      </w:r>
      <w:r w:rsidR="009D3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odesłanie do </w:t>
      </w:r>
      <w:r w:rsidR="00AC623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wynikającej z </w:t>
      </w:r>
      <w:r w:rsidR="0088419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przepisu unijnego. </w:t>
      </w:r>
    </w:p>
    <w:p w14:paraId="27DAFB36" w14:textId="6FAD2020" w:rsidR="00660D90" w:rsidRPr="00E26C2C" w:rsidRDefault="00064E87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wejścia w życie przepisów wykonawczych wydanych na podstawie art 53c ust. 3 ustawy – Prawo lotnicze certyfikaty dla zakresów działalności dotyczących statków powietrznych i innego sprzętu lotniczego określonych w załączniku I do rozporządzenia nr 2018/1130, </w:t>
      </w:r>
      <w:r w:rsidR="009F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wydawane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po spełnieniu przez podmiot w procesie certyfikacji wymagań określonych w przepisach wykonawczych wydanych na podstawie art. 159 ust. 1 ustawy – Prawo lotnicze</w:t>
      </w:r>
      <w:r w:rsidR="000B2CD3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B2CD3" w:rsidRPr="00E26C2C">
        <w:rPr>
          <w:rFonts w:ascii="Times New Roman" w:hAnsi="Times New Roman" w:cs="Times New Roman"/>
          <w:sz w:val="24"/>
          <w:szCs w:val="24"/>
        </w:rPr>
        <w:t>§ 5</w:t>
      </w:r>
      <w:r w:rsidR="00115DA6" w:rsidRPr="00E26C2C">
        <w:rPr>
          <w:rFonts w:ascii="Times New Roman" w:hAnsi="Times New Roman" w:cs="Times New Roman"/>
          <w:sz w:val="24"/>
          <w:szCs w:val="24"/>
        </w:rPr>
        <w:t>6</w:t>
      </w:r>
      <w:r w:rsidR="000B2CD3" w:rsidRPr="00E26C2C">
        <w:rPr>
          <w:rFonts w:ascii="Times New Roman" w:hAnsi="Times New Roman" w:cs="Times New Roman"/>
          <w:sz w:val="24"/>
          <w:szCs w:val="24"/>
        </w:rPr>
        <w:t xml:space="preserve"> projektu)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66909B" w14:textId="33345562" w:rsidR="000D31FD" w:rsidRPr="00E26C2C" w:rsidRDefault="000D31FD" w:rsidP="000D31F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5</w:t>
      </w:r>
      <w:r w:rsidR="001B01D8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7BF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wejdzie w życie po upływie 14 dni od dnia ogłoszenia, co pozwoli zainteresowanym podmiotom zapoznać się z regulacją</w:t>
      </w:r>
      <w:r w:rsidR="00AC623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przygotować się do jej stosowania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6230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wprowadzanych zmian termin wydaje się być wystarczający do przygotowania się do nowych przepisów.  </w:t>
      </w:r>
    </w:p>
    <w:p w14:paraId="30C64940" w14:textId="77777777" w:rsidR="000D31FD" w:rsidRPr="00E26C2C" w:rsidRDefault="000D31FD" w:rsidP="00D832E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4E5E8" w14:textId="77777777" w:rsidR="00D35660" w:rsidRPr="00E26C2C" w:rsidRDefault="00D35660" w:rsidP="00660D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związane z procedowaniem projektu </w:t>
      </w:r>
    </w:p>
    <w:p w14:paraId="6B24BDF6" w14:textId="77777777" w:rsidR="00A2658B" w:rsidRPr="00E26C2C" w:rsidRDefault="00A2658B" w:rsidP="00A265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8678C" w14:textId="77777777" w:rsidR="00D35660" w:rsidRPr="00E26C2C" w:rsidRDefault="00D35660" w:rsidP="00660D9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50 ustawy z dnia 27 sierpnia 2009 r. o finansach publicznych (Dz. U. z 201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8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projektodawca nie przewiduje, aby projektowane przepisy miały wpływ na sektor finansów publicznych, w tym zwiększenie wydatków lub zmniej</w:t>
      </w:r>
      <w:bookmarkStart w:id="2" w:name="_GoBack"/>
      <w:bookmarkEnd w:id="2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szenie dochodów jednostek sektora finansów publicznych.</w:t>
      </w:r>
    </w:p>
    <w:p w14:paraId="6701A0B7" w14:textId="24DC23A4" w:rsidR="00D35660" w:rsidRPr="00E26C2C" w:rsidRDefault="00D35660" w:rsidP="006111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nie podlega notyfikacji w trybie określonym w rozporządzeniu Rady Ministrów z dnia 23 grudnia 2002 r. w sprawie sposobu funkcjonowania krajowego systemu notyfikacji norm i aktów prawnych (Dz. U. poz. 2039, z </w:t>
      </w:r>
      <w:proofErr w:type="spellStart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nie wymaga przedstawienia właściwym </w:t>
      </w:r>
      <w:r w:rsidR="007D34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organom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D34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instytucjom</w:t>
      </w:r>
      <w:r w:rsidR="007D34F4" w:rsidRPr="00E26C2C" w:rsidDel="007D3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Unii Europejskiej</w:t>
      </w:r>
      <w:r w:rsidR="007D34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Europejskiemu Bankowi Centralnemu</w:t>
      </w:r>
      <w:r w:rsidR="007D34F4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uzyskania opinii, dokonania powiadomienia, konsultacji albo uzgodnienia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1EF183" w14:textId="77777777" w:rsidR="00D80F4A" w:rsidRPr="00E26C2C" w:rsidRDefault="00D80F4A" w:rsidP="00D80F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zgodny z prawem Unii Europejskiej.</w:t>
      </w:r>
    </w:p>
    <w:p w14:paraId="6AB55938" w14:textId="48F7CBE3" w:rsidR="00D35660" w:rsidRPr="00E26C2C" w:rsidRDefault="00D35660" w:rsidP="000B2C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52 uchwały </w:t>
      </w:r>
      <w:r w:rsidR="0087550B"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190 Rady Ministrów z dnia 29 października 2013 r. – Regulamin pracy Rady Ministrów (M.P. z 2016 r. poz. 1006, z </w:t>
      </w:r>
      <w:proofErr w:type="spellStart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2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projekt zostanie zamieszczony w Biuletynie Informacji Publicznej na stronie podmiotowej Rządowego Centrum Legislacji w serwisie Rządowy Proces Legislacyjny. </w:t>
      </w:r>
    </w:p>
    <w:p w14:paraId="695AE80A" w14:textId="77777777" w:rsidR="007C2F5E" w:rsidRPr="00E26C2C" w:rsidRDefault="007C2F5E" w:rsidP="00A26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4C7C3" w14:textId="77777777" w:rsidR="007C2F5E" w:rsidRPr="00E26C2C" w:rsidRDefault="007C2F5E" w:rsidP="00A265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05CEF" w14:textId="77777777" w:rsidR="007C2F5E" w:rsidRPr="00E26C2C" w:rsidRDefault="007C2F5E" w:rsidP="008841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2F5E" w:rsidRPr="00E26C2C" w:rsidSect="0087550B">
      <w:headerReference w:type="default" r:id="rId8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874" w16cex:dateUtc="2020-06-09T11:09:00Z"/>
  <w16cex:commentExtensible w16cex:durableId="228A0897" w16cex:dateUtc="2020-06-09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0BEB" w14:textId="77777777" w:rsidR="00A622A2" w:rsidRDefault="00A622A2">
      <w:pPr>
        <w:spacing w:after="0" w:line="240" w:lineRule="auto"/>
      </w:pPr>
      <w:r>
        <w:separator/>
      </w:r>
    </w:p>
  </w:endnote>
  <w:endnote w:type="continuationSeparator" w:id="0">
    <w:p w14:paraId="43838343" w14:textId="77777777" w:rsidR="00A622A2" w:rsidRDefault="00A6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EDD9" w14:textId="77777777" w:rsidR="00A622A2" w:rsidRDefault="00A622A2">
      <w:pPr>
        <w:spacing w:after="0" w:line="240" w:lineRule="auto"/>
      </w:pPr>
      <w:r>
        <w:separator/>
      </w:r>
    </w:p>
  </w:footnote>
  <w:footnote w:type="continuationSeparator" w:id="0">
    <w:p w14:paraId="59A8C29A" w14:textId="77777777" w:rsidR="00A622A2" w:rsidRDefault="00A6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E7F5" w14:textId="6A751D08" w:rsidR="001A3215" w:rsidRPr="00B371CC" w:rsidRDefault="001A3215" w:rsidP="001A3215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6CA6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3CCC"/>
    <w:multiLevelType w:val="hybridMultilevel"/>
    <w:tmpl w:val="38E89C78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8B"/>
    <w:rsid w:val="00003C05"/>
    <w:rsid w:val="00015055"/>
    <w:rsid w:val="000204DD"/>
    <w:rsid w:val="000339B1"/>
    <w:rsid w:val="00034DDA"/>
    <w:rsid w:val="0003744E"/>
    <w:rsid w:val="0004216C"/>
    <w:rsid w:val="000425BB"/>
    <w:rsid w:val="000535F0"/>
    <w:rsid w:val="00056829"/>
    <w:rsid w:val="000579CF"/>
    <w:rsid w:val="00064E87"/>
    <w:rsid w:val="00066C4B"/>
    <w:rsid w:val="00066D3F"/>
    <w:rsid w:val="00071E05"/>
    <w:rsid w:val="00072709"/>
    <w:rsid w:val="000809F1"/>
    <w:rsid w:val="00086067"/>
    <w:rsid w:val="000976DC"/>
    <w:rsid w:val="000B2CD3"/>
    <w:rsid w:val="000C6FC7"/>
    <w:rsid w:val="000C7271"/>
    <w:rsid w:val="000D31FD"/>
    <w:rsid w:val="000D4791"/>
    <w:rsid w:val="000E2B78"/>
    <w:rsid w:val="000F2292"/>
    <w:rsid w:val="00105BF6"/>
    <w:rsid w:val="001119D7"/>
    <w:rsid w:val="00112DC8"/>
    <w:rsid w:val="0011339D"/>
    <w:rsid w:val="00113C30"/>
    <w:rsid w:val="001159DC"/>
    <w:rsid w:val="00115DA6"/>
    <w:rsid w:val="00125A2E"/>
    <w:rsid w:val="001278E7"/>
    <w:rsid w:val="00130312"/>
    <w:rsid w:val="001315A2"/>
    <w:rsid w:val="001340A7"/>
    <w:rsid w:val="00137103"/>
    <w:rsid w:val="001413F9"/>
    <w:rsid w:val="00144B96"/>
    <w:rsid w:val="00145517"/>
    <w:rsid w:val="00145FF8"/>
    <w:rsid w:val="00147AD0"/>
    <w:rsid w:val="001546F7"/>
    <w:rsid w:val="00155297"/>
    <w:rsid w:val="001808FE"/>
    <w:rsid w:val="001864F1"/>
    <w:rsid w:val="00186CF9"/>
    <w:rsid w:val="001951A1"/>
    <w:rsid w:val="001952D3"/>
    <w:rsid w:val="001964F7"/>
    <w:rsid w:val="001A3215"/>
    <w:rsid w:val="001A43D5"/>
    <w:rsid w:val="001B01D8"/>
    <w:rsid w:val="001B0EF5"/>
    <w:rsid w:val="001B6733"/>
    <w:rsid w:val="001C0FDC"/>
    <w:rsid w:val="001E32AE"/>
    <w:rsid w:val="001F1A7D"/>
    <w:rsid w:val="001F529F"/>
    <w:rsid w:val="001F6E9C"/>
    <w:rsid w:val="001F6F56"/>
    <w:rsid w:val="002064C7"/>
    <w:rsid w:val="00215996"/>
    <w:rsid w:val="00216E24"/>
    <w:rsid w:val="002330CB"/>
    <w:rsid w:val="0023477D"/>
    <w:rsid w:val="0023618E"/>
    <w:rsid w:val="00255593"/>
    <w:rsid w:val="00283BBF"/>
    <w:rsid w:val="00286BF3"/>
    <w:rsid w:val="00290995"/>
    <w:rsid w:val="0029649B"/>
    <w:rsid w:val="002968B7"/>
    <w:rsid w:val="002A3C64"/>
    <w:rsid w:val="002A6D4B"/>
    <w:rsid w:val="002B1A47"/>
    <w:rsid w:val="002B25AE"/>
    <w:rsid w:val="002B399F"/>
    <w:rsid w:val="002B3C17"/>
    <w:rsid w:val="002B6335"/>
    <w:rsid w:val="002E06C3"/>
    <w:rsid w:val="002E6BC3"/>
    <w:rsid w:val="002E7358"/>
    <w:rsid w:val="002F0115"/>
    <w:rsid w:val="002F675E"/>
    <w:rsid w:val="003121F2"/>
    <w:rsid w:val="003131E7"/>
    <w:rsid w:val="003148D1"/>
    <w:rsid w:val="0032076D"/>
    <w:rsid w:val="0032151E"/>
    <w:rsid w:val="00327000"/>
    <w:rsid w:val="00331354"/>
    <w:rsid w:val="0033184E"/>
    <w:rsid w:val="00334494"/>
    <w:rsid w:val="0034023B"/>
    <w:rsid w:val="0034696C"/>
    <w:rsid w:val="0035341E"/>
    <w:rsid w:val="0035662B"/>
    <w:rsid w:val="003648CD"/>
    <w:rsid w:val="0036647A"/>
    <w:rsid w:val="00366F35"/>
    <w:rsid w:val="00373452"/>
    <w:rsid w:val="003856D7"/>
    <w:rsid w:val="00385C82"/>
    <w:rsid w:val="003903A6"/>
    <w:rsid w:val="00397579"/>
    <w:rsid w:val="003A08CC"/>
    <w:rsid w:val="003A4303"/>
    <w:rsid w:val="003A7FCF"/>
    <w:rsid w:val="003B7188"/>
    <w:rsid w:val="003D10A5"/>
    <w:rsid w:val="003D7EB0"/>
    <w:rsid w:val="003E5985"/>
    <w:rsid w:val="00400ECA"/>
    <w:rsid w:val="00416D32"/>
    <w:rsid w:val="0042312C"/>
    <w:rsid w:val="004245DE"/>
    <w:rsid w:val="00425ECE"/>
    <w:rsid w:val="004351CE"/>
    <w:rsid w:val="00437C42"/>
    <w:rsid w:val="00463175"/>
    <w:rsid w:val="0047082E"/>
    <w:rsid w:val="00477EB9"/>
    <w:rsid w:val="00480993"/>
    <w:rsid w:val="00491273"/>
    <w:rsid w:val="004A04BF"/>
    <w:rsid w:val="004A1BF4"/>
    <w:rsid w:val="004A3940"/>
    <w:rsid w:val="004A7E4B"/>
    <w:rsid w:val="004B42B1"/>
    <w:rsid w:val="004C2C83"/>
    <w:rsid w:val="004D6CA6"/>
    <w:rsid w:val="004F0B29"/>
    <w:rsid w:val="004F17FD"/>
    <w:rsid w:val="004F6BAA"/>
    <w:rsid w:val="004F7A2E"/>
    <w:rsid w:val="005014E1"/>
    <w:rsid w:val="00503A1D"/>
    <w:rsid w:val="005151F9"/>
    <w:rsid w:val="00515759"/>
    <w:rsid w:val="005245AA"/>
    <w:rsid w:val="00525C79"/>
    <w:rsid w:val="005269AF"/>
    <w:rsid w:val="005301D3"/>
    <w:rsid w:val="00547218"/>
    <w:rsid w:val="00555B7A"/>
    <w:rsid w:val="00556EE2"/>
    <w:rsid w:val="005573F4"/>
    <w:rsid w:val="00585951"/>
    <w:rsid w:val="005A78C2"/>
    <w:rsid w:val="005C6164"/>
    <w:rsid w:val="005D137D"/>
    <w:rsid w:val="005D2BEC"/>
    <w:rsid w:val="005D72D0"/>
    <w:rsid w:val="005E2348"/>
    <w:rsid w:val="005E2D24"/>
    <w:rsid w:val="005E71A2"/>
    <w:rsid w:val="005F2EC1"/>
    <w:rsid w:val="005F529E"/>
    <w:rsid w:val="00601CA7"/>
    <w:rsid w:val="006046FA"/>
    <w:rsid w:val="00611142"/>
    <w:rsid w:val="006172D0"/>
    <w:rsid w:val="0062725F"/>
    <w:rsid w:val="00627A09"/>
    <w:rsid w:val="00633F45"/>
    <w:rsid w:val="00660D90"/>
    <w:rsid w:val="0067263C"/>
    <w:rsid w:val="006807EB"/>
    <w:rsid w:val="006967D7"/>
    <w:rsid w:val="006A175F"/>
    <w:rsid w:val="006A520F"/>
    <w:rsid w:val="006B2B84"/>
    <w:rsid w:val="006C729F"/>
    <w:rsid w:val="006C7EFB"/>
    <w:rsid w:val="006D602E"/>
    <w:rsid w:val="006E3C43"/>
    <w:rsid w:val="006E6D99"/>
    <w:rsid w:val="006F4BCD"/>
    <w:rsid w:val="006F5194"/>
    <w:rsid w:val="0070515F"/>
    <w:rsid w:val="00707461"/>
    <w:rsid w:val="00741511"/>
    <w:rsid w:val="0076162F"/>
    <w:rsid w:val="00775E6B"/>
    <w:rsid w:val="00777FDE"/>
    <w:rsid w:val="00792AD9"/>
    <w:rsid w:val="007A031F"/>
    <w:rsid w:val="007C03CC"/>
    <w:rsid w:val="007C2F5E"/>
    <w:rsid w:val="007C34E1"/>
    <w:rsid w:val="007D05D6"/>
    <w:rsid w:val="007D34F4"/>
    <w:rsid w:val="007D3994"/>
    <w:rsid w:val="007D5CB0"/>
    <w:rsid w:val="007E1355"/>
    <w:rsid w:val="007F6491"/>
    <w:rsid w:val="007F7BF6"/>
    <w:rsid w:val="00801006"/>
    <w:rsid w:val="00801CDA"/>
    <w:rsid w:val="00803CB7"/>
    <w:rsid w:val="00810A3E"/>
    <w:rsid w:val="00813F59"/>
    <w:rsid w:val="008271BC"/>
    <w:rsid w:val="00827F2A"/>
    <w:rsid w:val="00835C09"/>
    <w:rsid w:val="008511E2"/>
    <w:rsid w:val="00853AF0"/>
    <w:rsid w:val="00860E2A"/>
    <w:rsid w:val="00863276"/>
    <w:rsid w:val="00870502"/>
    <w:rsid w:val="00873E46"/>
    <w:rsid w:val="0087550B"/>
    <w:rsid w:val="0088222D"/>
    <w:rsid w:val="008824FD"/>
    <w:rsid w:val="00884198"/>
    <w:rsid w:val="008878C5"/>
    <w:rsid w:val="00894349"/>
    <w:rsid w:val="00894756"/>
    <w:rsid w:val="008A0CAE"/>
    <w:rsid w:val="008A0D16"/>
    <w:rsid w:val="008A34B4"/>
    <w:rsid w:val="008A4373"/>
    <w:rsid w:val="008B1F87"/>
    <w:rsid w:val="008B33F4"/>
    <w:rsid w:val="008C5D82"/>
    <w:rsid w:val="008F2B22"/>
    <w:rsid w:val="00903753"/>
    <w:rsid w:val="00912907"/>
    <w:rsid w:val="00920C61"/>
    <w:rsid w:val="00922184"/>
    <w:rsid w:val="00922B29"/>
    <w:rsid w:val="00931765"/>
    <w:rsid w:val="009427CE"/>
    <w:rsid w:val="00943DAC"/>
    <w:rsid w:val="009467A2"/>
    <w:rsid w:val="009654CF"/>
    <w:rsid w:val="00970254"/>
    <w:rsid w:val="00974689"/>
    <w:rsid w:val="00990D02"/>
    <w:rsid w:val="0099341F"/>
    <w:rsid w:val="00993C46"/>
    <w:rsid w:val="009A219A"/>
    <w:rsid w:val="009A40FF"/>
    <w:rsid w:val="009A50F4"/>
    <w:rsid w:val="009C03C3"/>
    <w:rsid w:val="009C5776"/>
    <w:rsid w:val="009D3CBC"/>
    <w:rsid w:val="009D4296"/>
    <w:rsid w:val="009E3296"/>
    <w:rsid w:val="009E36F6"/>
    <w:rsid w:val="009E7AAA"/>
    <w:rsid w:val="009F4ED2"/>
    <w:rsid w:val="009F589E"/>
    <w:rsid w:val="009F625A"/>
    <w:rsid w:val="00A02F83"/>
    <w:rsid w:val="00A03EFF"/>
    <w:rsid w:val="00A10EE5"/>
    <w:rsid w:val="00A124B7"/>
    <w:rsid w:val="00A20824"/>
    <w:rsid w:val="00A2658B"/>
    <w:rsid w:val="00A26E86"/>
    <w:rsid w:val="00A3661F"/>
    <w:rsid w:val="00A50DF8"/>
    <w:rsid w:val="00A5662C"/>
    <w:rsid w:val="00A56C11"/>
    <w:rsid w:val="00A62095"/>
    <w:rsid w:val="00A6222D"/>
    <w:rsid w:val="00A622A2"/>
    <w:rsid w:val="00A66DB9"/>
    <w:rsid w:val="00A717F2"/>
    <w:rsid w:val="00A77884"/>
    <w:rsid w:val="00A83CFC"/>
    <w:rsid w:val="00A91647"/>
    <w:rsid w:val="00A91B81"/>
    <w:rsid w:val="00A928D6"/>
    <w:rsid w:val="00A9490F"/>
    <w:rsid w:val="00A955F8"/>
    <w:rsid w:val="00A96017"/>
    <w:rsid w:val="00AA0CD7"/>
    <w:rsid w:val="00AA288D"/>
    <w:rsid w:val="00AA50BA"/>
    <w:rsid w:val="00AA58D8"/>
    <w:rsid w:val="00AB0098"/>
    <w:rsid w:val="00AB0A8A"/>
    <w:rsid w:val="00AB3CB2"/>
    <w:rsid w:val="00AB4D90"/>
    <w:rsid w:val="00AB761A"/>
    <w:rsid w:val="00AC1E4A"/>
    <w:rsid w:val="00AC460B"/>
    <w:rsid w:val="00AC4E08"/>
    <w:rsid w:val="00AC5CA5"/>
    <w:rsid w:val="00AC6230"/>
    <w:rsid w:val="00AD1B0F"/>
    <w:rsid w:val="00AD4B44"/>
    <w:rsid w:val="00AE5BCD"/>
    <w:rsid w:val="00AE5D21"/>
    <w:rsid w:val="00AF2393"/>
    <w:rsid w:val="00AF6CAD"/>
    <w:rsid w:val="00B025DA"/>
    <w:rsid w:val="00B04F4D"/>
    <w:rsid w:val="00B06A2A"/>
    <w:rsid w:val="00B077E8"/>
    <w:rsid w:val="00B1066C"/>
    <w:rsid w:val="00B40F4F"/>
    <w:rsid w:val="00B50833"/>
    <w:rsid w:val="00B57330"/>
    <w:rsid w:val="00B65F43"/>
    <w:rsid w:val="00B670F1"/>
    <w:rsid w:val="00B7162F"/>
    <w:rsid w:val="00B818EF"/>
    <w:rsid w:val="00B8215F"/>
    <w:rsid w:val="00B9766A"/>
    <w:rsid w:val="00BA47D5"/>
    <w:rsid w:val="00BA5004"/>
    <w:rsid w:val="00BA52FC"/>
    <w:rsid w:val="00BB310B"/>
    <w:rsid w:val="00BB6298"/>
    <w:rsid w:val="00BD4F4B"/>
    <w:rsid w:val="00BD5E7E"/>
    <w:rsid w:val="00BD6D3F"/>
    <w:rsid w:val="00BE33B1"/>
    <w:rsid w:val="00BE6A7C"/>
    <w:rsid w:val="00BF074B"/>
    <w:rsid w:val="00BF1F5F"/>
    <w:rsid w:val="00BF4E9B"/>
    <w:rsid w:val="00BF57EF"/>
    <w:rsid w:val="00BF5DE0"/>
    <w:rsid w:val="00C2116D"/>
    <w:rsid w:val="00C22E8C"/>
    <w:rsid w:val="00C27FEB"/>
    <w:rsid w:val="00C313D4"/>
    <w:rsid w:val="00C321E4"/>
    <w:rsid w:val="00C37DA2"/>
    <w:rsid w:val="00C439E3"/>
    <w:rsid w:val="00C47F25"/>
    <w:rsid w:val="00C5128D"/>
    <w:rsid w:val="00C52A91"/>
    <w:rsid w:val="00C52C4C"/>
    <w:rsid w:val="00C54D02"/>
    <w:rsid w:val="00C74415"/>
    <w:rsid w:val="00C74A46"/>
    <w:rsid w:val="00C76A9F"/>
    <w:rsid w:val="00C80A7E"/>
    <w:rsid w:val="00C80FC0"/>
    <w:rsid w:val="00C81D55"/>
    <w:rsid w:val="00C91652"/>
    <w:rsid w:val="00C91BC1"/>
    <w:rsid w:val="00CA7748"/>
    <w:rsid w:val="00CB61C8"/>
    <w:rsid w:val="00CC3A6F"/>
    <w:rsid w:val="00CC6EF8"/>
    <w:rsid w:val="00CE446E"/>
    <w:rsid w:val="00CE63C3"/>
    <w:rsid w:val="00CE6D5D"/>
    <w:rsid w:val="00CE7B0D"/>
    <w:rsid w:val="00CF1269"/>
    <w:rsid w:val="00CF1897"/>
    <w:rsid w:val="00CF4F10"/>
    <w:rsid w:val="00CF6589"/>
    <w:rsid w:val="00D00EDA"/>
    <w:rsid w:val="00D076A0"/>
    <w:rsid w:val="00D10558"/>
    <w:rsid w:val="00D162C7"/>
    <w:rsid w:val="00D35660"/>
    <w:rsid w:val="00D37D5D"/>
    <w:rsid w:val="00D411E4"/>
    <w:rsid w:val="00D43D1E"/>
    <w:rsid w:val="00D51BAE"/>
    <w:rsid w:val="00D57501"/>
    <w:rsid w:val="00D60E4D"/>
    <w:rsid w:val="00D63AE7"/>
    <w:rsid w:val="00D66EE7"/>
    <w:rsid w:val="00D67C2A"/>
    <w:rsid w:val="00D73B88"/>
    <w:rsid w:val="00D75C79"/>
    <w:rsid w:val="00D76B3B"/>
    <w:rsid w:val="00D80F4A"/>
    <w:rsid w:val="00D82F70"/>
    <w:rsid w:val="00D832EC"/>
    <w:rsid w:val="00D86A99"/>
    <w:rsid w:val="00DA0A9C"/>
    <w:rsid w:val="00DA1746"/>
    <w:rsid w:val="00DA7E4F"/>
    <w:rsid w:val="00DB7CA8"/>
    <w:rsid w:val="00DC6F53"/>
    <w:rsid w:val="00DD0204"/>
    <w:rsid w:val="00DD31EA"/>
    <w:rsid w:val="00DD3440"/>
    <w:rsid w:val="00DD6D3C"/>
    <w:rsid w:val="00DE4808"/>
    <w:rsid w:val="00DE5E4D"/>
    <w:rsid w:val="00DF202B"/>
    <w:rsid w:val="00DF7837"/>
    <w:rsid w:val="00E01400"/>
    <w:rsid w:val="00E07BE1"/>
    <w:rsid w:val="00E22BEB"/>
    <w:rsid w:val="00E2331E"/>
    <w:rsid w:val="00E25A17"/>
    <w:rsid w:val="00E26C2C"/>
    <w:rsid w:val="00E30903"/>
    <w:rsid w:val="00E3126A"/>
    <w:rsid w:val="00E36609"/>
    <w:rsid w:val="00E4000E"/>
    <w:rsid w:val="00E52C3E"/>
    <w:rsid w:val="00E562A6"/>
    <w:rsid w:val="00E56949"/>
    <w:rsid w:val="00E61AC4"/>
    <w:rsid w:val="00E61C00"/>
    <w:rsid w:val="00E6317E"/>
    <w:rsid w:val="00E77E9A"/>
    <w:rsid w:val="00E8325A"/>
    <w:rsid w:val="00E8412B"/>
    <w:rsid w:val="00E86964"/>
    <w:rsid w:val="00E92EA2"/>
    <w:rsid w:val="00E957C7"/>
    <w:rsid w:val="00EB01A4"/>
    <w:rsid w:val="00EB1581"/>
    <w:rsid w:val="00EC02D9"/>
    <w:rsid w:val="00ED75A9"/>
    <w:rsid w:val="00EF1043"/>
    <w:rsid w:val="00EF490B"/>
    <w:rsid w:val="00EF4DD1"/>
    <w:rsid w:val="00EF538D"/>
    <w:rsid w:val="00EF5861"/>
    <w:rsid w:val="00F01A67"/>
    <w:rsid w:val="00F03D75"/>
    <w:rsid w:val="00F07219"/>
    <w:rsid w:val="00F07D97"/>
    <w:rsid w:val="00F13760"/>
    <w:rsid w:val="00F15884"/>
    <w:rsid w:val="00F169F7"/>
    <w:rsid w:val="00F31224"/>
    <w:rsid w:val="00F353BA"/>
    <w:rsid w:val="00F408DE"/>
    <w:rsid w:val="00F448F6"/>
    <w:rsid w:val="00F500E0"/>
    <w:rsid w:val="00F55A6B"/>
    <w:rsid w:val="00F57C39"/>
    <w:rsid w:val="00F62F48"/>
    <w:rsid w:val="00F70F9A"/>
    <w:rsid w:val="00F72FC4"/>
    <w:rsid w:val="00F737BF"/>
    <w:rsid w:val="00F821A3"/>
    <w:rsid w:val="00F856B9"/>
    <w:rsid w:val="00F918CF"/>
    <w:rsid w:val="00FA01C5"/>
    <w:rsid w:val="00FA1150"/>
    <w:rsid w:val="00FA177C"/>
    <w:rsid w:val="00FA65D5"/>
    <w:rsid w:val="00FB756C"/>
    <w:rsid w:val="00FD1BE1"/>
    <w:rsid w:val="00FD1F51"/>
    <w:rsid w:val="00FD7437"/>
    <w:rsid w:val="00FE5085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9CF3"/>
  <w15:docId w15:val="{4380049F-D69A-460A-AD95-E3E5B9D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58B"/>
  </w:style>
  <w:style w:type="paragraph" w:styleId="Tekstdymka">
    <w:name w:val="Balloon Text"/>
    <w:basedOn w:val="Normalny"/>
    <w:link w:val="TekstdymkaZnak"/>
    <w:uiPriority w:val="99"/>
    <w:semiHidden/>
    <w:unhideWhenUsed/>
    <w:rsid w:val="001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660"/>
    <w:pPr>
      <w:ind w:left="720"/>
      <w:contextualSpacing/>
    </w:pPr>
  </w:style>
  <w:style w:type="paragraph" w:styleId="Poprawka">
    <w:name w:val="Revision"/>
    <w:hidden/>
    <w:uiPriority w:val="99"/>
    <w:semiHidden/>
    <w:rsid w:val="00C37D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3A4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3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30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A8E3-27F9-4B88-8BA1-52659590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4791</Words>
  <Characters>28751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Porzycka Magdalena</dc:creator>
  <cp:lastModifiedBy>Joanna Wasilewska</cp:lastModifiedBy>
  <cp:revision>4</cp:revision>
  <dcterms:created xsi:type="dcterms:W3CDTF">2020-06-29T11:36:00Z</dcterms:created>
  <dcterms:modified xsi:type="dcterms:W3CDTF">2020-06-29T12:03:00Z</dcterms:modified>
</cp:coreProperties>
</file>