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16FF3" w14:textId="77777777" w:rsidR="008756DA" w:rsidRPr="00906155" w:rsidRDefault="008756DA" w:rsidP="00906155">
      <w:pPr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</w:p>
    <w:p w14:paraId="5920AD72" w14:textId="77777777" w:rsidR="008756DA" w:rsidRDefault="008756DA" w:rsidP="00E74C16">
      <w:pPr>
        <w:ind w:firstLine="708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10947" w:type="dxa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890"/>
        <w:gridCol w:w="27"/>
        <w:gridCol w:w="387"/>
        <w:gridCol w:w="321"/>
        <w:gridCol w:w="21"/>
        <w:gridCol w:w="383"/>
        <w:gridCol w:w="554"/>
        <w:gridCol w:w="134"/>
        <w:gridCol w:w="42"/>
        <w:gridCol w:w="109"/>
        <w:gridCol w:w="300"/>
        <w:gridCol w:w="353"/>
        <w:gridCol w:w="372"/>
        <w:gridCol w:w="415"/>
        <w:gridCol w:w="80"/>
        <w:gridCol w:w="71"/>
        <w:gridCol w:w="532"/>
        <w:gridCol w:w="36"/>
        <w:gridCol w:w="369"/>
        <w:gridCol w:w="51"/>
        <w:gridCol w:w="266"/>
        <w:gridCol w:w="448"/>
        <w:gridCol w:w="173"/>
        <w:gridCol w:w="253"/>
        <w:gridCol w:w="685"/>
        <w:gridCol w:w="23"/>
        <w:gridCol w:w="1399"/>
        <w:gridCol w:w="10"/>
      </w:tblGrid>
      <w:tr w:rsidR="00E74C16" w:rsidRPr="00840863" w14:paraId="4C72621A" w14:textId="77777777" w:rsidTr="00E74C16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5AAC508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bookmarkStart w:id="1" w:name="t1"/>
            <w:r w:rsidRPr="003A6D7C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3559CD9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</w:rPr>
            </w:pPr>
            <w:r w:rsidRPr="003A6D7C">
              <w:rPr>
                <w:rFonts w:ascii="Times New Roman" w:hAnsi="Times New Roman"/>
                <w:color w:val="000000"/>
              </w:rPr>
              <w:t>Rozporządzenie Ministra Infrastruktury</w:t>
            </w:r>
            <w:r w:rsidR="00975950">
              <w:rPr>
                <w:rFonts w:ascii="Times New Roman" w:hAnsi="Times New Roman"/>
                <w:color w:val="000000"/>
              </w:rPr>
              <w:t xml:space="preserve"> </w:t>
            </w:r>
            <w:r w:rsidRPr="003A6D7C">
              <w:rPr>
                <w:rFonts w:ascii="Times New Roman" w:hAnsi="Times New Roman"/>
              </w:rPr>
              <w:t xml:space="preserve">zmieniające rozporządzenie w sprawie </w:t>
            </w:r>
            <w:r w:rsidR="003B3F25" w:rsidRPr="003B3F25">
              <w:rPr>
                <w:rFonts w:ascii="Times New Roman" w:hAnsi="Times New Roman"/>
              </w:rPr>
              <w:t>szczegółowych wymagań dotyczących programów ochrony w lotnictwie cywilnym</w:t>
            </w:r>
          </w:p>
          <w:p w14:paraId="566EFB9C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</w:rPr>
            </w:pPr>
          </w:p>
          <w:p w14:paraId="7AB77426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3A6D7C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6AEFC5E5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 w:rsidRPr="003A6D7C">
              <w:rPr>
                <w:rFonts w:ascii="Times New Roman" w:hAnsi="Times New Roman"/>
                <w:color w:val="000000"/>
              </w:rPr>
              <w:t>Ministerstwo Infrastruktury we współpracy z Ministerstwem Spraw Wewnętrznych</w:t>
            </w:r>
            <w:r w:rsidR="00835613">
              <w:rPr>
                <w:rFonts w:ascii="Times New Roman" w:hAnsi="Times New Roman"/>
                <w:color w:val="000000"/>
              </w:rPr>
              <w:t xml:space="preserve"> i Administracji</w:t>
            </w:r>
          </w:p>
          <w:bookmarkEnd w:id="1"/>
          <w:p w14:paraId="0B87D835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  <w:p w14:paraId="757E2006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</w:rPr>
            </w:pPr>
            <w:r w:rsidRPr="003A6D7C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029F7DEB" w14:textId="77777777" w:rsidR="00E74C16" w:rsidRDefault="00835613" w:rsidP="00EF039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Marcin Horała – Sekretarz Stanu w Ministerstwie Infrastruktury</w:t>
            </w:r>
          </w:p>
          <w:p w14:paraId="3BAE5E0A" w14:textId="77777777" w:rsidR="00985903" w:rsidRPr="003A6D7C" w:rsidRDefault="00985903" w:rsidP="00EF0391">
            <w:pPr>
              <w:rPr>
                <w:rFonts w:ascii="Times New Roman" w:hAnsi="Times New Roman"/>
              </w:rPr>
            </w:pPr>
          </w:p>
          <w:p w14:paraId="2B5A6BEB" w14:textId="77777777" w:rsidR="00E74C16" w:rsidRDefault="00E74C16" w:rsidP="00E74C16">
            <w:pPr>
              <w:ind w:left="25"/>
              <w:rPr>
                <w:rFonts w:ascii="Times New Roman" w:hAnsi="Times New Roman"/>
                <w:b/>
                <w:color w:val="000000"/>
              </w:rPr>
            </w:pPr>
            <w:r w:rsidRPr="003A6D7C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6EAEF63" w14:textId="77777777" w:rsidR="00B676C6" w:rsidRPr="00EF0391" w:rsidRDefault="00835613" w:rsidP="00E74C16">
            <w:pPr>
              <w:ind w:left="2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Marcin Morawski</w:t>
            </w:r>
            <w:r w:rsidR="00B676C6" w:rsidRPr="00EF0391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specjalista</w:t>
            </w:r>
            <w:r w:rsidR="00B676C6" w:rsidRPr="00EF0391">
              <w:rPr>
                <w:rFonts w:ascii="Times New Roman" w:hAnsi="Times New Roman"/>
                <w:color w:val="000000"/>
              </w:rPr>
              <w:t xml:space="preserve"> w Departamencie Lotnictwa Ministerstwa Infrastruktury; tel. 22 630-</w:t>
            </w:r>
            <w:r>
              <w:rPr>
                <w:rFonts w:ascii="Times New Roman" w:hAnsi="Times New Roman"/>
                <w:color w:val="000000"/>
              </w:rPr>
              <w:t>13</w:t>
            </w:r>
            <w:r w:rsidR="00B676C6" w:rsidRPr="00EF0391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22</w:t>
            </w:r>
            <w:r w:rsidR="00B676C6" w:rsidRPr="00EF0391">
              <w:rPr>
                <w:rFonts w:ascii="Times New Roman" w:hAnsi="Times New Roman"/>
                <w:color w:val="000000"/>
              </w:rPr>
              <w:t xml:space="preserve">, e-mail: </w:t>
            </w:r>
            <w:r>
              <w:rPr>
                <w:rFonts w:ascii="Times New Roman" w:hAnsi="Times New Roman"/>
                <w:color w:val="000000"/>
              </w:rPr>
              <w:t>Marcin.Morawski</w:t>
            </w:r>
            <w:r w:rsidR="00B676C6" w:rsidRPr="00EF0391">
              <w:rPr>
                <w:rFonts w:ascii="Times New Roman" w:hAnsi="Times New Roman"/>
                <w:color w:val="000000"/>
              </w:rPr>
              <w:t>@mi.gov.pl</w:t>
            </w:r>
          </w:p>
          <w:p w14:paraId="3DEE7AB6" w14:textId="77777777" w:rsidR="00E74C16" w:rsidRPr="003A6D7C" w:rsidRDefault="00E74C16" w:rsidP="00E74C16">
            <w:pPr>
              <w:ind w:left="25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306" w:type="dxa"/>
            <w:gridSpan w:val="12"/>
            <w:shd w:val="clear" w:color="auto" w:fill="FFFFFF"/>
          </w:tcPr>
          <w:p w14:paraId="00E6787B" w14:textId="77777777" w:rsidR="00E74C16" w:rsidRPr="003A6D7C" w:rsidRDefault="00E74C16" w:rsidP="00E74C16">
            <w:pPr>
              <w:rPr>
                <w:rFonts w:ascii="Times New Roman" w:hAnsi="Times New Roman"/>
                <w:b/>
              </w:rPr>
            </w:pPr>
            <w:r w:rsidRPr="003A6D7C">
              <w:rPr>
                <w:rFonts w:ascii="Times New Roman" w:hAnsi="Times New Roman"/>
                <w:b/>
              </w:rPr>
              <w:t xml:space="preserve">Data sporządzenia </w:t>
            </w:r>
          </w:p>
          <w:p w14:paraId="24A8AA6D" w14:textId="5DBFC98B" w:rsidR="00E74C16" w:rsidRPr="003A6D7C" w:rsidRDefault="0041142F" w:rsidP="00E74C16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C23CCC">
              <w:rPr>
                <w:rFonts w:ascii="Times New Roman" w:hAnsi="Times New Roman"/>
              </w:rPr>
              <w:t>.08</w:t>
            </w:r>
            <w:r w:rsidR="00D343FB">
              <w:rPr>
                <w:rFonts w:ascii="Times New Roman" w:hAnsi="Times New Roman"/>
              </w:rPr>
              <w:t>.2020 r.</w:t>
            </w:r>
            <w:r w:rsidR="00E74C16" w:rsidRPr="003A6D7C">
              <w:rPr>
                <w:rFonts w:ascii="Times New Roman" w:hAnsi="Times New Roman"/>
              </w:rPr>
              <w:br/>
            </w:r>
          </w:p>
          <w:p w14:paraId="759EE3B9" w14:textId="77777777" w:rsidR="00E74C16" w:rsidRPr="003A6D7C" w:rsidRDefault="00E74C16" w:rsidP="00E74C16">
            <w:pPr>
              <w:rPr>
                <w:rFonts w:ascii="Times New Roman" w:hAnsi="Times New Roman"/>
                <w:b/>
              </w:rPr>
            </w:pPr>
            <w:r w:rsidRPr="003A6D7C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6B932A86" w14:textId="2FCFCB13" w:rsidR="00B676C6" w:rsidRPr="00B676C6" w:rsidRDefault="00B676C6" w:rsidP="00B676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art. 189 ust. 1 ustawy z dnia 3 lipca </w:t>
            </w:r>
            <w:r w:rsidRPr="00B676C6">
              <w:rPr>
                <w:rFonts w:ascii="Times New Roman" w:hAnsi="Times New Roman"/>
              </w:rPr>
              <w:t>2002 r.</w:t>
            </w:r>
            <w:r w:rsidR="00411A1D">
              <w:rPr>
                <w:rFonts w:ascii="Times New Roman" w:hAnsi="Times New Roman"/>
              </w:rPr>
              <w:t xml:space="preserve"> – Prawo lotnicze (Dz. U. z 2019 r. poz. 1580</w:t>
            </w:r>
            <w:r w:rsidR="008936A4">
              <w:rPr>
                <w:rFonts w:ascii="Times New Roman" w:hAnsi="Times New Roman"/>
              </w:rPr>
              <w:t>,</w:t>
            </w:r>
            <w:r w:rsidR="00C76D6C">
              <w:rPr>
                <w:rFonts w:ascii="Times New Roman" w:hAnsi="Times New Roman"/>
              </w:rPr>
              <w:t xml:space="preserve"> z późn. zm.</w:t>
            </w:r>
            <w:r w:rsidRPr="00B676C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  <w:p w14:paraId="07D35816" w14:textId="77777777" w:rsidR="00E74C16" w:rsidRPr="003A6D7C" w:rsidRDefault="00E74C16" w:rsidP="00E74C16">
            <w:pPr>
              <w:rPr>
                <w:rFonts w:ascii="Times New Roman" w:hAnsi="Times New Roman"/>
              </w:rPr>
            </w:pPr>
          </w:p>
          <w:p w14:paraId="51E6EBC7" w14:textId="77777777" w:rsidR="00E74C16" w:rsidRPr="003A6D7C" w:rsidRDefault="00E74C16" w:rsidP="00E74C16">
            <w:pPr>
              <w:rPr>
                <w:rFonts w:ascii="Times New Roman" w:hAnsi="Times New Roman"/>
              </w:rPr>
            </w:pPr>
          </w:p>
          <w:p w14:paraId="22F01C71" w14:textId="77777777" w:rsidR="00E74C16" w:rsidRPr="003A6D7C" w:rsidRDefault="00E74C16" w:rsidP="00E74C16">
            <w:pPr>
              <w:rPr>
                <w:rFonts w:ascii="Times New Roman" w:hAnsi="Times New Roman"/>
                <w:b/>
                <w:color w:val="000000"/>
              </w:rPr>
            </w:pPr>
            <w:r w:rsidRPr="003A6D7C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330EF3">
              <w:rPr>
                <w:rFonts w:ascii="Times New Roman" w:hAnsi="Times New Roman"/>
                <w:b/>
                <w:color w:val="000000"/>
              </w:rPr>
              <w:t>legislacyjnych M</w:t>
            </w:r>
            <w:r w:rsidR="00835613">
              <w:rPr>
                <w:rFonts w:ascii="Times New Roman" w:hAnsi="Times New Roman"/>
                <w:b/>
                <w:color w:val="000000"/>
              </w:rPr>
              <w:t xml:space="preserve">inistra </w:t>
            </w:r>
            <w:r w:rsidR="00330EF3">
              <w:rPr>
                <w:rFonts w:ascii="Times New Roman" w:hAnsi="Times New Roman"/>
                <w:b/>
                <w:color w:val="000000"/>
              </w:rPr>
              <w:t>I</w:t>
            </w:r>
            <w:r w:rsidR="00835613">
              <w:rPr>
                <w:rFonts w:ascii="Times New Roman" w:hAnsi="Times New Roman"/>
                <w:b/>
                <w:color w:val="000000"/>
              </w:rPr>
              <w:t>nfrastruktury</w:t>
            </w:r>
          </w:p>
          <w:p w14:paraId="707FEB26" w14:textId="77777777" w:rsidR="00E74C16" w:rsidRPr="003A6D7C" w:rsidRDefault="0074795D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</w:p>
          <w:p w14:paraId="766CF14F" w14:textId="77777777" w:rsidR="00E74C16" w:rsidRPr="003A6D7C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05287ABE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B2A69C4" w14:textId="77777777" w:rsidR="00E74C16" w:rsidRPr="00840863" w:rsidRDefault="00E74C16" w:rsidP="00E74C16">
            <w:pPr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840863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E74C16" w:rsidRPr="00840863" w14:paraId="0C81EEA3" w14:textId="77777777" w:rsidTr="00E74C16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CF98C2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E74C16" w:rsidRPr="00840863" w14:paraId="7FD96DF3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FACA779" w14:textId="6FDA8620" w:rsidR="00906155" w:rsidRDefault="00F27A87" w:rsidP="00F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pkt</w:t>
            </w:r>
            <w:r w:rsidR="00616D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11.1.11</w:t>
            </w:r>
            <w:r w:rsidR="00835613">
              <w:t xml:space="preserve"> </w:t>
            </w:r>
            <w:r w:rsidR="00FC1551" w:rsidRPr="00FC1551">
              <w:rPr>
                <w:rFonts w:ascii="Times New Roman" w:hAnsi="Times New Roman"/>
              </w:rPr>
              <w:t>załącznika do</w:t>
            </w:r>
            <w:r w:rsidR="00FC1551">
              <w:t xml:space="preserve">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 xml:space="preserve">rozporządzenia wykonawczego Komisji (UE) 2015/1998 z dnia 5 listopada 2015 r. ustanawiającego szczegółowe środki w celu wprowadzenia w życie wspólnych podstawowych norm ochrony lotnictwa cywilnego (Dz. Urz. UE L 299 z 14.11.2015, str. 1, z późn. zm.), zwanego dalej </w:t>
            </w:r>
            <w:r w:rsidR="00716A03">
              <w:rPr>
                <w:rFonts w:ascii="Times New Roman" w:hAnsi="Times New Roman"/>
                <w:sz w:val="24"/>
                <w:szCs w:val="24"/>
              </w:rPr>
              <w:t>„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rozporządzeniem nr 2015/1998</w:t>
            </w:r>
            <w:r w:rsidR="00716A03">
              <w:rPr>
                <w:rFonts w:ascii="Times New Roman" w:hAnsi="Times New Roman"/>
                <w:sz w:val="24"/>
                <w:szCs w:val="24"/>
              </w:rPr>
              <w:t>”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, zmienionego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95D">
              <w:rPr>
                <w:rFonts w:ascii="Times New Roman" w:hAnsi="Times New Roman"/>
                <w:sz w:val="24"/>
                <w:szCs w:val="24"/>
              </w:rPr>
              <w:t>r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>ozpo</w:t>
            </w:r>
            <w:r w:rsidRPr="0074795D">
              <w:rPr>
                <w:rFonts w:ascii="Times New Roman" w:hAnsi="Times New Roman"/>
                <w:sz w:val="24"/>
                <w:szCs w:val="24"/>
              </w:rPr>
              <w:t>rządzeni</w:t>
            </w:r>
            <w:r w:rsidR="00835613" w:rsidRPr="0074795D">
              <w:rPr>
                <w:rFonts w:ascii="Times New Roman" w:hAnsi="Times New Roman"/>
                <w:sz w:val="24"/>
                <w:szCs w:val="24"/>
              </w:rPr>
              <w:t>em</w:t>
            </w:r>
            <w:r w:rsidRPr="0074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>wykonawcz</w:t>
            </w:r>
            <w:r w:rsidR="00835613" w:rsidRPr="0074795D">
              <w:rPr>
                <w:rFonts w:ascii="Times New Roman" w:hAnsi="Times New Roman"/>
                <w:sz w:val="24"/>
                <w:szCs w:val="24"/>
              </w:rPr>
              <w:t>ym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 xml:space="preserve"> Komisji (UE) 2019/103 z dnia 23 stycznia 2019 r. </w:t>
            </w:r>
            <w:r w:rsidR="00FC1551" w:rsidRPr="0074795D">
              <w:rPr>
                <w:rFonts w:ascii="Times New Roman" w:hAnsi="Times New Roman"/>
                <w:sz w:val="24"/>
                <w:szCs w:val="24"/>
              </w:rPr>
              <w:t>zmieniając</w:t>
            </w:r>
            <w:r w:rsidR="00FC1551">
              <w:rPr>
                <w:rFonts w:ascii="Times New Roman" w:hAnsi="Times New Roman"/>
                <w:sz w:val="24"/>
                <w:szCs w:val="24"/>
              </w:rPr>
              <w:t>ym</w:t>
            </w:r>
            <w:r w:rsidR="00FC1551" w:rsidRPr="0074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F25" w:rsidRPr="0074795D">
              <w:rPr>
                <w:rFonts w:ascii="Times New Roman" w:hAnsi="Times New Roman"/>
                <w:sz w:val="24"/>
                <w:szCs w:val="24"/>
              </w:rPr>
              <w:t>rozporządzenie wykonawcze (UE) 2015/1998 w odniesieniu do wyjaśnienia, harmonizacji i uproszczenia, a także wzmocnienia niektórych szczególnych środków ochrony lotnictwa</w:t>
            </w:r>
            <w:r w:rsidR="003B3F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(Dz. Urz. UE L 21 z 24.01.2019, str. 13</w:t>
            </w:r>
            <w:r w:rsidR="00FC1551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)</w:t>
            </w:r>
            <w:r w:rsidR="00FC1551">
              <w:rPr>
                <w:rFonts w:ascii="Times New Roman" w:hAnsi="Times New Roman"/>
                <w:sz w:val="24"/>
                <w:szCs w:val="24"/>
              </w:rPr>
              <w:t>,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Pr="004F5BAC">
              <w:rPr>
                <w:rFonts w:ascii="Times New Roman" w:hAnsi="Times New Roman"/>
                <w:sz w:val="24"/>
                <w:szCs w:val="24"/>
              </w:rPr>
              <w:t xml:space="preserve"> celu uwzględnienia zagrożeń wewnętrznych i niezależnie od treści odpowiednich szkoleń dla personelu i uzyskiwanych w nich kompetencji wymienionych w pkt 11.2, w programie ochrony operatorów i podmiotów, o których mowa w art. 12, 13 i 14 rozporządzenia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Parlamentu Europejskiego i Rady (WE) nr 300/2008 z dnia 11 marca 2008 r. w sprawie wspólnych zasad w dziedzinie ochrony lotnictwa cywilnego i uchylające</w:t>
            </w:r>
            <w:r w:rsidR="00FC1551">
              <w:rPr>
                <w:rFonts w:ascii="Times New Roman" w:hAnsi="Times New Roman"/>
                <w:sz w:val="24"/>
                <w:szCs w:val="24"/>
              </w:rPr>
              <w:t>go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 xml:space="preserve"> rozporządzenie (WE) nr 2320/2002 (Dz. Urz. UE L 97 z 09.04.2008, str. 72, z późn. zm.)</w:t>
            </w:r>
            <w:r w:rsidRPr="004F5BAC">
              <w:rPr>
                <w:rFonts w:ascii="Times New Roman" w:hAnsi="Times New Roman"/>
                <w:sz w:val="24"/>
                <w:szCs w:val="24"/>
              </w:rPr>
              <w:t>, zawiera się odpowiednią politykę wewnętrzną i związane z nią środki zwiększające świadomość personelu oraz propagujące kulturę ochrony.</w:t>
            </w:r>
          </w:p>
          <w:p w14:paraId="4DA1B901" w14:textId="77777777" w:rsidR="0074795D" w:rsidRDefault="0074795D" w:rsidP="00F27A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433281" w14:textId="21A3CA44" w:rsidR="00B40743" w:rsidRDefault="00626090" w:rsidP="00F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Ponadto, zgodnie z pkt 1.7.2 załącznika do</w:t>
            </w:r>
            <w:r w:rsidR="00716A03">
              <w:rPr>
                <w:rFonts w:ascii="Times New Roman" w:hAnsi="Times New Roman"/>
                <w:sz w:val="24"/>
                <w:szCs w:val="24"/>
              </w:rPr>
              <w:t xml:space="preserve"> rozporządzenia nr 2015/1998, zmienionego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>rozporządzeni</w:t>
            </w:r>
            <w:r w:rsidR="00716A03">
              <w:rPr>
                <w:rFonts w:ascii="Times New Roman" w:hAnsi="Times New Roman"/>
                <w:sz w:val="24"/>
                <w:szCs w:val="24"/>
              </w:rPr>
              <w:t>em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wykonawcz</w:t>
            </w:r>
            <w:r w:rsidR="00716A03">
              <w:rPr>
                <w:rFonts w:ascii="Times New Roman" w:hAnsi="Times New Roman"/>
                <w:sz w:val="24"/>
                <w:szCs w:val="24"/>
              </w:rPr>
              <w:t>ym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Komisji (UE) 2019/1583 z dnia 25 września 2019 r. zmieniając</w:t>
            </w:r>
            <w:r w:rsidR="00716A03">
              <w:rPr>
                <w:rFonts w:ascii="Times New Roman" w:hAnsi="Times New Roman"/>
                <w:sz w:val="24"/>
                <w:szCs w:val="24"/>
              </w:rPr>
              <w:t>ym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rozporządzenie wykonawcze (UE) 2015/1998 </w:t>
            </w:r>
            <w:r w:rsidR="0041142F" w:rsidRPr="004766A2">
              <w:rPr>
                <w:rFonts w:ascii="Times New Roman" w:hAnsi="Times New Roman"/>
                <w:sz w:val="24"/>
                <w:szCs w:val="24"/>
              </w:rPr>
              <w:t>ustanawiając</w:t>
            </w:r>
            <w:r w:rsidR="0041142F">
              <w:rPr>
                <w:rFonts w:ascii="Times New Roman" w:hAnsi="Times New Roman"/>
                <w:sz w:val="24"/>
                <w:szCs w:val="24"/>
              </w:rPr>
              <w:t>ym</w:t>
            </w:r>
            <w:r w:rsidR="0041142F" w:rsidRPr="004766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>szczegółowe środki w celu wprowadzenia w życie wspólnych podstawowych norm ochrony lotnictwa cywilnego w odniesieniu do środków w zakresie cyberbezpieczeństwa</w:t>
            </w:r>
            <w:r w:rsidR="0071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A03" w:rsidRPr="00716A03">
              <w:rPr>
                <w:rFonts w:ascii="Times New Roman" w:hAnsi="Times New Roman"/>
                <w:sz w:val="24"/>
                <w:szCs w:val="24"/>
              </w:rPr>
              <w:t>(Dz. Urz. UE L 246 z 26.09.2019, str. 15</w:t>
            </w:r>
            <w:r w:rsidR="00FC1551">
              <w:rPr>
                <w:rFonts w:ascii="Times New Roman" w:hAnsi="Times New Roman"/>
                <w:sz w:val="24"/>
                <w:szCs w:val="24"/>
              </w:rPr>
              <w:t>, z późn. zm.</w:t>
            </w:r>
            <w:r w:rsidR="00716A03" w:rsidRPr="00716A03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o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peratorzy portów lotniczych, przewoźnicy lotniczy i podmioty określają w swoim programie ochrony lub w innym odpowiednim dokumencie wymienionym w programie ochrony, krytyczne systemy technologii informacyjno-komunikacyjnych i </w:t>
            </w:r>
            <w:r w:rsidR="00B40743">
              <w:rPr>
                <w:rFonts w:ascii="Times New Roman" w:hAnsi="Times New Roman"/>
                <w:sz w:val="24"/>
                <w:szCs w:val="24"/>
              </w:rPr>
              <w:t xml:space="preserve">dane oraz 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>określa</w:t>
            </w:r>
            <w:r>
              <w:rPr>
                <w:rFonts w:ascii="Times New Roman" w:hAnsi="Times New Roman"/>
                <w:sz w:val="24"/>
                <w:szCs w:val="24"/>
              </w:rPr>
              <w:t>ją</w:t>
            </w:r>
            <w:r w:rsidRPr="004766A2">
              <w:rPr>
                <w:rFonts w:ascii="Times New Roman" w:hAnsi="Times New Roman"/>
                <w:sz w:val="24"/>
                <w:szCs w:val="24"/>
              </w:rPr>
              <w:t xml:space="preserve"> szczegółowo środki mające na celu zapewnienie ochrony przed cyberatakami, które mogłyby wpłynąć na bezpieczeństwo lotnictwa cywilnego, wykrywania ich i reagowania na 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C2E9E51" w14:textId="77777777" w:rsidR="0074795D" w:rsidRDefault="0074795D" w:rsidP="00F27A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37C60DE" w14:textId="05ADA17E" w:rsidR="00F27A87" w:rsidRDefault="00A32E7C" w:rsidP="00F27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ałącznik nr 1 do rozporządzenia </w:t>
            </w:r>
            <w:r w:rsidR="00835613" w:rsidRPr="00835613">
              <w:rPr>
                <w:rFonts w:ascii="Times New Roman" w:hAnsi="Times New Roman"/>
                <w:sz w:val="24"/>
                <w:szCs w:val="24"/>
              </w:rPr>
              <w:t>Ministra Transportu, Budownictwa i Gospodarki Morskiej z dnia 15 marca 2013 r. w sprawie szczegółowych wymagań dotyczących programów ochrony w lotnictwie cywilnym (Dz. U. z 2018 r. poz. 485)</w:t>
            </w:r>
            <w:r w:rsidR="007D2DB6">
              <w:rPr>
                <w:rFonts w:ascii="Times New Roman" w:hAnsi="Times New Roman"/>
                <w:sz w:val="24"/>
                <w:szCs w:val="24"/>
              </w:rPr>
              <w:t>, zwanego dalej „rozporządzeniem”,</w:t>
            </w:r>
            <w:r w:rsidR="00835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określa szczegółowe wymagania dotyczące programu ochrony </w:t>
            </w:r>
            <w:r w:rsidR="007D2DB6">
              <w:rPr>
                <w:rFonts w:ascii="Times New Roman" w:hAnsi="Times New Roman"/>
                <w:sz w:val="24"/>
                <w:szCs w:val="24"/>
              </w:rPr>
              <w:t xml:space="preserve">portu lotniczego i innego </w:t>
            </w:r>
            <w:r w:rsidR="00F27A87">
              <w:rPr>
                <w:rFonts w:ascii="Times New Roman" w:hAnsi="Times New Roman"/>
                <w:sz w:val="24"/>
                <w:szCs w:val="24"/>
              </w:rPr>
              <w:t>l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t>otniska niepodlegającego alternatywnym środkom ochrony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, natomiast załącznik nr 6 </w:t>
            </w:r>
            <w:r w:rsidR="007D2DB6">
              <w:rPr>
                <w:rFonts w:ascii="Times New Roman" w:hAnsi="Times New Roman"/>
                <w:sz w:val="24"/>
                <w:szCs w:val="24"/>
              </w:rPr>
              <w:t xml:space="preserve">do rozporządzenia 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dotyczy programu ochrony 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t>lotniska niebędącego portem lotniczym</w:t>
            </w:r>
            <w:r w:rsidR="00F27A87">
              <w:rPr>
                <w:rFonts w:ascii="Times New Roman" w:hAnsi="Times New Roman"/>
                <w:sz w:val="24"/>
                <w:szCs w:val="24"/>
              </w:rPr>
              <w:t>,</w:t>
            </w:r>
            <w:r w:rsidR="00F27A87" w:rsidRPr="00B41C96">
              <w:rPr>
                <w:rFonts w:ascii="Times New Roman" w:hAnsi="Times New Roman"/>
                <w:sz w:val="24"/>
                <w:szCs w:val="24"/>
              </w:rPr>
              <w:t xml:space="preserve"> podlegającego alte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rnatywnym środkom ochrony. Niejasna jest więc sytuacja lotnisk częściowo </w:t>
            </w:r>
            <w:r w:rsidR="009E37A6">
              <w:rPr>
                <w:rFonts w:ascii="Times New Roman" w:hAnsi="Times New Roman"/>
                <w:sz w:val="24"/>
                <w:szCs w:val="24"/>
              </w:rPr>
              <w:t xml:space="preserve">podlegających </w:t>
            </w:r>
            <w:r w:rsidR="00F27A87">
              <w:rPr>
                <w:rFonts w:ascii="Times New Roman" w:hAnsi="Times New Roman"/>
                <w:sz w:val="24"/>
                <w:szCs w:val="24"/>
              </w:rPr>
              <w:lastRenderedPageBreak/>
              <w:t>alternatywnym środk</w:t>
            </w:r>
            <w:r w:rsidR="009E37A6">
              <w:rPr>
                <w:rFonts w:ascii="Times New Roman" w:hAnsi="Times New Roman"/>
                <w:sz w:val="24"/>
                <w:szCs w:val="24"/>
              </w:rPr>
              <w:t>om</w:t>
            </w:r>
            <w:r w:rsidR="00F27A87">
              <w:rPr>
                <w:rFonts w:ascii="Times New Roman" w:hAnsi="Times New Roman"/>
                <w:sz w:val="24"/>
                <w:szCs w:val="24"/>
              </w:rPr>
              <w:t xml:space="preserve"> ochrony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oraz portów lotniczych podlegających alternatywnym środkom ochrony.</w:t>
            </w:r>
          </w:p>
          <w:p w14:paraId="359CFD84" w14:textId="77777777" w:rsidR="0074795D" w:rsidRDefault="0074795D" w:rsidP="00F27A8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2B674C3" w14:textId="4868C536" w:rsidR="00A32E7C" w:rsidRPr="0074795D" w:rsidRDefault="00A32E7C" w:rsidP="00E834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Zgodnie z § 4 ust. 1</w:t>
            </w:r>
            <w:r w:rsidR="00835613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rozporządzenia program ochrony jest przedstawiany do zatwierdzenia Prezesowi Urzędu Lotnictwa Cywilnego w formie wydruku oraz na informatycznym nośniku danych. Praktyka pracy Urzędu Lotnictwa Cywilnego wskazuje, że obowiązek przygotowania programu ochrony w dwóch </w:t>
            </w:r>
            <w:r w:rsidR="00E6654B">
              <w:rPr>
                <w:rFonts w:ascii="Times New Roman" w:hAnsi="Times New Roman"/>
                <w:color w:val="000000"/>
                <w:sz w:val="24"/>
                <w:szCs w:val="24"/>
              </w:rPr>
              <w:t>postaciach</w:t>
            </w:r>
            <w:r w:rsidR="00E6654B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8346F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jest zbędny i utrudnia nadzór nad treścią dokumentu.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14:paraId="0CAA4571" w14:textId="77777777" w:rsidR="0074795D" w:rsidRPr="0074795D" w:rsidRDefault="0074795D" w:rsidP="00E8346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B36C967" w14:textId="3A7BC7F7" w:rsidR="00E8346F" w:rsidRPr="00840863" w:rsidRDefault="00E8346F" w:rsidP="007D2DB6">
            <w:pPr>
              <w:rPr>
                <w:rFonts w:ascii="Times New Roman" w:hAnsi="Times New Roman"/>
                <w:color w:val="000000"/>
              </w:rPr>
            </w:pP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Ponadto, praktyka pracy U</w:t>
            </w:r>
            <w:r w:rsidR="00411A1D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rzędu Lotnictwa Cywilnego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wskazuje, że obecny układ treści szczegółowych </w:t>
            </w:r>
            <w:r w:rsidR="007D2DB6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wym</w:t>
            </w:r>
            <w:r w:rsidR="007D2DB6">
              <w:rPr>
                <w:rFonts w:ascii="Times New Roman" w:hAnsi="Times New Roman"/>
                <w:color w:val="000000"/>
                <w:sz w:val="24"/>
                <w:szCs w:val="24"/>
              </w:rPr>
              <w:t>agań</w:t>
            </w:r>
            <w:r w:rsidR="007D2DB6"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4795D">
              <w:rPr>
                <w:rFonts w:ascii="Times New Roman" w:hAnsi="Times New Roman"/>
                <w:color w:val="000000"/>
                <w:sz w:val="24"/>
                <w:szCs w:val="24"/>
              </w:rPr>
              <w:t>dotyczących programu ochrony zarejestrowanego agenta (załącznik nr 3 do rozporządzenia) utrudnia podmiotom ubiegającym się o wyznaczenie jako zarejestrowany agent sporządzenie tego dokumentu.</w:t>
            </w:r>
          </w:p>
        </w:tc>
      </w:tr>
      <w:tr w:rsidR="00E74C16" w:rsidRPr="00840863" w14:paraId="09D6704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35BF518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>Rekomendowane rozwiązanie, w tym planowane narzędzia interwencji, i oczekiwany efekt</w:t>
            </w:r>
          </w:p>
        </w:tc>
      </w:tr>
      <w:tr w:rsidR="00E74C16" w:rsidRPr="00840863" w14:paraId="45052B56" w14:textId="77777777" w:rsidTr="002D4B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200"/>
        </w:trPr>
        <w:tc>
          <w:tcPr>
            <w:tcW w:w="10937" w:type="dxa"/>
            <w:gridSpan w:val="29"/>
            <w:tcBorders>
              <w:left w:val="single" w:sz="4" w:space="0" w:color="auto"/>
              <w:right w:val="single" w:sz="4" w:space="0" w:color="auto"/>
            </w:tcBorders>
          </w:tcPr>
          <w:p w14:paraId="029D8C51" w14:textId="539C2FD6" w:rsidR="00E74C16" w:rsidRPr="0074795D" w:rsidRDefault="00E74C16" w:rsidP="00A6705E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Ze względu na </w:t>
            </w:r>
            <w:r w:rsidR="000C0DB2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okolicznoś</w:t>
            </w:r>
            <w:r w:rsidR="00AD22B8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ci </w:t>
            </w:r>
            <w:r w:rsidR="000C0DB2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wskazan</w:t>
            </w:r>
            <w:r w:rsidR="00AD22B8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e</w:t>
            </w:r>
            <w:r w:rsidR="000C0DB2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B8164B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w pkt</w:t>
            </w: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1, zasadnym stało się </w:t>
            </w:r>
            <w:r w:rsidR="0066543B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przeprowadzenie nowelizacji</w:t>
            </w: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7D2DB6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obowiązującego </w:t>
            </w:r>
            <w:r w:rsidR="00A32E7C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rozporządzenia.</w:t>
            </w:r>
          </w:p>
          <w:p w14:paraId="711CA7F6" w14:textId="77777777" w:rsidR="00E8346F" w:rsidRPr="0074795D" w:rsidRDefault="00E8346F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Oczekiwane efekty nowelizacji to:</w:t>
            </w:r>
          </w:p>
          <w:p w14:paraId="73646C79" w14:textId="6D10FAD6" w:rsidR="00E8346F" w:rsidRPr="0074795D" w:rsidRDefault="00616DE8" w:rsidP="00E87BE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1) </w:t>
            </w:r>
            <w:r w:rsidR="00E8346F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dostosowanie programów ochrony do nowych wymogów rozporządzenia </w:t>
            </w:r>
            <w:r w:rsidR="00835613"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nr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2015/1998;</w:t>
            </w:r>
          </w:p>
          <w:p w14:paraId="36C58C17" w14:textId="62C8F30A" w:rsidR="007C09C7" w:rsidRDefault="00616DE8">
            <w:pPr>
              <w:rPr>
                <w:rFonts w:ascii="Times New Roman" w:hAnsi="Times New Roman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 xml:space="preserve">usunięcie niejasności odnośnie programów ochrony części lotnisk </w:t>
            </w:r>
            <w:r w:rsidR="007C09C7">
              <w:rPr>
                <w:rFonts w:ascii="Times New Roman" w:hAnsi="Times New Roman"/>
                <w:sz w:val="24"/>
                <w:szCs w:val="24"/>
              </w:rPr>
              <w:t>podlegających</w:t>
            </w:r>
            <w:r w:rsidR="007C09C7" w:rsidRPr="007479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alternatywnym środk</w:t>
            </w:r>
            <w:r w:rsidR="007C09C7">
              <w:rPr>
                <w:rFonts w:ascii="Times New Roman" w:hAnsi="Times New Roman"/>
                <w:sz w:val="24"/>
                <w:szCs w:val="24"/>
              </w:rPr>
              <w:t xml:space="preserve">om </w:t>
            </w:r>
          </w:p>
          <w:p w14:paraId="6EA24249" w14:textId="29E40AA5" w:rsidR="00E8346F" w:rsidRPr="0074795D" w:rsidRDefault="007C09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ochrony;</w:t>
            </w:r>
          </w:p>
          <w:p w14:paraId="61D5CCC0" w14:textId="77777777" w:rsidR="00E8346F" w:rsidRPr="0074795D" w:rsidRDefault="00616DE8">
            <w:pPr>
              <w:rPr>
                <w:rFonts w:ascii="Times New Roman" w:hAnsi="Times New Roman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usprawnienie procesu sporządzania i zatwierdzania programów ochrony;</w:t>
            </w:r>
          </w:p>
          <w:p w14:paraId="621CC0AF" w14:textId="77777777" w:rsidR="00E8346F" w:rsidRDefault="00616DE8">
            <w:pPr>
              <w:rPr>
                <w:rFonts w:ascii="Times New Roman" w:hAnsi="Times New Roman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E8346F" w:rsidRPr="0074795D">
              <w:rPr>
                <w:rFonts w:ascii="Times New Roman" w:hAnsi="Times New Roman"/>
                <w:sz w:val="24"/>
                <w:szCs w:val="24"/>
              </w:rPr>
              <w:t>ułatwienie tworzenia nowych programów ochrony zarejestrowanych agentów.</w:t>
            </w:r>
          </w:p>
          <w:p w14:paraId="0418D8BD" w14:textId="77777777" w:rsidR="0074795D" w:rsidRPr="0074795D" w:rsidRDefault="0074795D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3F71FF" w14:textId="77777777" w:rsidR="00835613" w:rsidRPr="00E8346F" w:rsidRDefault="00835613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74795D">
              <w:rPr>
                <w:rFonts w:ascii="Times New Roman" w:hAnsi="Times New Roman"/>
                <w:sz w:val="24"/>
                <w:szCs w:val="24"/>
              </w:rPr>
              <w:t>Brak możliwości osiągnięcia celu projektu w sposób inny niż wydanie projektowanego rozporządzenia.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74C16" w:rsidRPr="00840863" w14:paraId="5E84496F" w14:textId="77777777" w:rsidTr="00E74C16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25C6B10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840863">
              <w:rPr>
                <w:rFonts w:ascii="Times New Roman" w:hAnsi="Times New Roman"/>
                <w:b/>
                <w:color w:val="000000"/>
              </w:rPr>
              <w:t>?</w:t>
            </w:r>
            <w:r w:rsidRPr="00840863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E74C16" w:rsidRPr="00840863" w14:paraId="361D046C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140214A6" w14:textId="3F73D569" w:rsidR="00E74C16" w:rsidRPr="0074795D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74795D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Pozostałe państwa członkowskie są obowiązane do dostosowywania krajowych przepisów do obowiązującego prawa unijnego analogicznie jak w przypadku potrzeby nowelizacji prawa polskiego.</w:t>
            </w:r>
          </w:p>
          <w:p w14:paraId="2EDED84E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840863" w14:paraId="2A09E3ED" w14:textId="77777777" w:rsidTr="00E74C16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23F8625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E74C16" w:rsidRPr="00840863" w14:paraId="555381CA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5879D490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00" w:type="dxa"/>
            <w:gridSpan w:val="6"/>
          </w:tcPr>
          <w:p w14:paraId="54DC6D81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3"/>
          </w:tcPr>
          <w:p w14:paraId="2761DBDC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40863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</w:tcPr>
          <w:p w14:paraId="703C5345" w14:textId="77777777" w:rsidR="00E74C16" w:rsidRPr="00840863" w:rsidRDefault="00E74C16" w:rsidP="00E74C16">
            <w:pPr>
              <w:spacing w:before="40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40F2F" w:rsidRPr="00840863" w14:paraId="4F79E335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0BE734BE" w14:textId="0E954A23" w:rsidR="00240F2F" w:rsidRDefault="00C6420E" w:rsidP="00DA5C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Prezes Urzędu Lotnictwa Cywilnego</w:t>
            </w:r>
          </w:p>
        </w:tc>
        <w:tc>
          <w:tcPr>
            <w:tcW w:w="1800" w:type="dxa"/>
            <w:gridSpan w:val="6"/>
          </w:tcPr>
          <w:p w14:paraId="3FDF1E36" w14:textId="1049D9F7" w:rsidR="00240F2F" w:rsidRDefault="00C6420E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</w:t>
            </w:r>
          </w:p>
        </w:tc>
        <w:tc>
          <w:tcPr>
            <w:tcW w:w="2996" w:type="dxa"/>
            <w:gridSpan w:val="13"/>
          </w:tcPr>
          <w:p w14:paraId="6D96D881" w14:textId="772655F1" w:rsidR="00240F2F" w:rsidRPr="00840863" w:rsidRDefault="00C6420E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Ustawa z dnia 3 lipca 2002 r. – Prawo lotnicze</w:t>
            </w:r>
          </w:p>
        </w:tc>
        <w:tc>
          <w:tcPr>
            <w:tcW w:w="2981" w:type="dxa"/>
            <w:gridSpan w:val="6"/>
          </w:tcPr>
          <w:p w14:paraId="4EFCB35D" w14:textId="700CD9E0" w:rsidR="00240F2F" w:rsidRDefault="00C6420E" w:rsidP="00C6420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Weryfikacja w procesie zatwierdzania programów ochrony ich zgodności z nowymi wymaganiami.</w:t>
            </w:r>
          </w:p>
        </w:tc>
      </w:tr>
      <w:tr w:rsidR="00240F2F" w:rsidRPr="00840863" w14:paraId="0A8CB299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762869ED" w14:textId="5724FD99" w:rsidR="00240F2F" w:rsidRDefault="00C6420E" w:rsidP="00C6420E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zatwierdzające programy ochrony </w:t>
            </w:r>
            <w:r w:rsidRPr="00C6420E">
              <w:rPr>
                <w:rFonts w:ascii="Times New Roman" w:hAnsi="Times New Roman"/>
                <w:color w:val="000000"/>
                <w:spacing w:val="-2"/>
              </w:rPr>
              <w:t>znanego dostawcy zaopatrzenia pokładowego i znanego dostawcy zaopatrzenia portu lotniczego</w:t>
            </w:r>
          </w:p>
        </w:tc>
        <w:tc>
          <w:tcPr>
            <w:tcW w:w="1800" w:type="dxa"/>
            <w:gridSpan w:val="6"/>
          </w:tcPr>
          <w:p w14:paraId="07748E2E" w14:textId="5512C4B4" w:rsidR="00240F2F" w:rsidRDefault="00DB7DFB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14</w:t>
            </w:r>
          </w:p>
        </w:tc>
        <w:tc>
          <w:tcPr>
            <w:tcW w:w="2996" w:type="dxa"/>
            <w:gridSpan w:val="13"/>
          </w:tcPr>
          <w:p w14:paraId="1D7F2F8A" w14:textId="67113E59" w:rsidR="00240F2F" w:rsidRPr="00840863" w:rsidRDefault="002148C3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Urząd Lotnictwa Cywilnego</w:t>
            </w:r>
          </w:p>
        </w:tc>
        <w:tc>
          <w:tcPr>
            <w:tcW w:w="2981" w:type="dxa"/>
            <w:gridSpan w:val="6"/>
          </w:tcPr>
          <w:p w14:paraId="334F76C8" w14:textId="2711BE75" w:rsidR="00240F2F" w:rsidRDefault="00C6420E" w:rsidP="008E71B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C6420E">
              <w:rPr>
                <w:rFonts w:ascii="Times New Roman" w:hAnsi="Times New Roman"/>
                <w:color w:val="000000"/>
                <w:spacing w:val="-2"/>
              </w:rPr>
              <w:t>Weryfikacja w procesie zatwierdzania programów ochrony ich zgodności z nowymi wymaganiami.</w:t>
            </w:r>
          </w:p>
        </w:tc>
      </w:tr>
      <w:tr w:rsidR="00E74C16" w:rsidRPr="00840863" w14:paraId="38DD5202" w14:textId="77777777" w:rsidTr="00DA5C74">
        <w:trPr>
          <w:gridAfter w:val="1"/>
          <w:wAfter w:w="10" w:type="dxa"/>
          <w:trHeight w:val="142"/>
        </w:trPr>
        <w:tc>
          <w:tcPr>
            <w:tcW w:w="3160" w:type="dxa"/>
            <w:gridSpan w:val="4"/>
          </w:tcPr>
          <w:p w14:paraId="7FA708CE" w14:textId="59CEE5C0" w:rsidR="00E74C16" w:rsidRPr="00840863" w:rsidRDefault="00E8346F" w:rsidP="00DA5C7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obowiązane do opracowania programów ochrony (zarządzający lotniskami,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przewoźnicy lotniczy, P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 xml:space="preserve">olska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 xml:space="preserve">gencja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Ż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 xml:space="preserve">eglugi 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P</w:t>
            </w:r>
            <w:r w:rsidR="00835613">
              <w:rPr>
                <w:rFonts w:ascii="Times New Roman" w:hAnsi="Times New Roman"/>
                <w:color w:val="000000"/>
                <w:spacing w:val="-2"/>
              </w:rPr>
              <w:t>owietrznej</w:t>
            </w:r>
            <w:r w:rsidR="00DA5C74">
              <w:rPr>
                <w:rFonts w:ascii="Times New Roman" w:hAnsi="Times New Roman"/>
                <w:color w:val="000000"/>
                <w:spacing w:val="-2"/>
              </w:rPr>
              <w:t>, zarejestrowani agenci, znani nadawcy, zarejestrowani dostawcy zaopatrzenia pokładowego, znani dostawcy zaopatrzenia portu lotniczego, znani dostawcy zaopatrzenia pokładowego)</w:t>
            </w:r>
          </w:p>
        </w:tc>
        <w:tc>
          <w:tcPr>
            <w:tcW w:w="1800" w:type="dxa"/>
            <w:gridSpan w:val="6"/>
          </w:tcPr>
          <w:p w14:paraId="4609D2A7" w14:textId="77777777" w:rsidR="00E74C16" w:rsidRPr="00840863" w:rsidRDefault="008F4DA4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340</w:t>
            </w:r>
          </w:p>
        </w:tc>
        <w:tc>
          <w:tcPr>
            <w:tcW w:w="2996" w:type="dxa"/>
            <w:gridSpan w:val="13"/>
          </w:tcPr>
          <w:p w14:paraId="01E3286A" w14:textId="2513D1AF" w:rsidR="00E74C16" w:rsidRPr="00840863" w:rsidRDefault="00B1294B" w:rsidP="002148C3">
            <w:pPr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Urz</w:t>
            </w:r>
            <w:r w:rsidR="002148C3">
              <w:rPr>
                <w:rFonts w:ascii="Times New Roman" w:hAnsi="Times New Roman"/>
                <w:color w:val="000000"/>
                <w:spacing w:val="-2"/>
              </w:rPr>
              <w:t>ąd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Lotnictwa Cywilnego</w:t>
            </w:r>
          </w:p>
        </w:tc>
        <w:tc>
          <w:tcPr>
            <w:tcW w:w="2981" w:type="dxa"/>
            <w:gridSpan w:val="6"/>
          </w:tcPr>
          <w:p w14:paraId="633543A9" w14:textId="77777777" w:rsidR="002148C3" w:rsidRDefault="00DA5C74" w:rsidP="008E71B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Konieczność dostosowania programów ochrony do nowych </w:t>
            </w:r>
            <w:r w:rsidR="008E71B6">
              <w:rPr>
                <w:rFonts w:ascii="Times New Roman" w:hAnsi="Times New Roman"/>
                <w:color w:val="000000"/>
                <w:spacing w:val="-2"/>
              </w:rPr>
              <w:t>wymagań</w:t>
            </w:r>
            <w:r w:rsidR="002148C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02921286" w14:textId="6BAA2919" w:rsidR="002148C3" w:rsidRPr="00840863" w:rsidRDefault="002148C3" w:rsidP="002148C3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Usprawnienie w zakresie procesu sporządzania i uzyskiwania zatwierdzenia programu ochrony związane ze zmianą postaci dokumentu z papierowej na elektroniczną.</w:t>
            </w:r>
          </w:p>
        </w:tc>
      </w:tr>
      <w:tr w:rsidR="00E74C16" w:rsidRPr="00840863" w14:paraId="1BFF0CCB" w14:textId="77777777" w:rsidTr="00E74C16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1D9FF176" w14:textId="6AC8775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E74C16" w:rsidRPr="00840863" w14:paraId="7F158942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229A81D1" w14:textId="23935458" w:rsidR="004A3485" w:rsidRDefault="004A3485" w:rsidP="0074795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343FB">
              <w:rPr>
                <w:rFonts w:ascii="Times New Roman" w:hAnsi="Times New Roman"/>
                <w:color w:val="000000"/>
                <w:spacing w:val="-2"/>
              </w:rPr>
              <w:t xml:space="preserve">Z chwilą skierowania projektu do uzgodnień i konsultacji publicznych, </w:t>
            </w:r>
            <w:r w:rsidR="0041142F" w:rsidRPr="00D343FB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41142F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="0041142F" w:rsidRPr="00D343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t xml:space="preserve">on udostępniony w Biuletynie Informacji 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lastRenderedPageBreak/>
              <w:t>Publicznej na stronie podmiotowej Rządowego Centrum Legislacji w serwisie Rządowy Proces Legislacyjny oraz w Biuletynie Informacji Publicznej Urzędu Lotnictwa Cywilnego.</w:t>
            </w:r>
          </w:p>
          <w:p w14:paraId="311830F7" w14:textId="77777777" w:rsidR="00EC39FD" w:rsidRPr="00D343FB" w:rsidRDefault="00EC39FD" w:rsidP="0074795D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1C730000" w14:textId="40ACB76F" w:rsidR="00E74C16" w:rsidRPr="00D343FB" w:rsidRDefault="008E71B6" w:rsidP="0074795D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D343FB">
              <w:rPr>
                <w:rFonts w:ascii="Times New Roman" w:hAnsi="Times New Roman"/>
                <w:color w:val="000000"/>
                <w:spacing w:val="-2"/>
              </w:rPr>
              <w:t>P</w:t>
            </w:r>
            <w:r>
              <w:rPr>
                <w:rFonts w:ascii="Times New Roman" w:hAnsi="Times New Roman"/>
                <w:color w:val="000000"/>
                <w:spacing w:val="-2"/>
              </w:rPr>
              <w:t>la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t xml:space="preserve">nuje </w:t>
            </w:r>
            <w:r w:rsidR="00ED6B40" w:rsidRPr="00D343FB">
              <w:rPr>
                <w:rFonts w:ascii="Times New Roman" w:hAnsi="Times New Roman"/>
                <w:color w:val="000000"/>
                <w:spacing w:val="-2"/>
              </w:rPr>
              <w:t xml:space="preserve">się przeprowadzenie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>publicznych</w:t>
            </w:r>
            <w:r w:rsidRPr="00D343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ED6B40" w:rsidRPr="00D343FB">
              <w:rPr>
                <w:rFonts w:ascii="Times New Roman" w:hAnsi="Times New Roman"/>
                <w:color w:val="000000"/>
                <w:spacing w:val="-2"/>
              </w:rPr>
              <w:t xml:space="preserve">z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następującymi </w:t>
            </w:r>
            <w:r w:rsidR="00ED6B40" w:rsidRPr="00D343FB">
              <w:rPr>
                <w:rFonts w:ascii="Times New Roman" w:hAnsi="Times New Roman"/>
                <w:color w:val="000000"/>
                <w:spacing w:val="-2"/>
              </w:rPr>
              <w:t>podmiotami</w:t>
            </w:r>
            <w:r w:rsidR="00E74C16" w:rsidRPr="00D343FB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02D3C803" w14:textId="29499389" w:rsidR="00707B7D" w:rsidRPr="001B6377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 xml:space="preserve">Przedsiębiorstwo Państwowe </w:t>
            </w:r>
            <w:r w:rsidR="008E71B6">
              <w:rPr>
                <w:rFonts w:ascii="Times New Roman" w:hAnsi="Times New Roman"/>
              </w:rPr>
              <w:t>„</w:t>
            </w:r>
            <w:r w:rsidRPr="00D343FB">
              <w:rPr>
                <w:rFonts w:ascii="Times New Roman" w:hAnsi="Times New Roman"/>
              </w:rPr>
              <w:t xml:space="preserve">Porty Lotnicze” ul. </w:t>
            </w:r>
            <w:r w:rsidRPr="001B6377">
              <w:rPr>
                <w:rFonts w:ascii="Times New Roman" w:hAnsi="Times New Roman"/>
              </w:rPr>
              <w:t>Żwirki i Wigury 1, 00-906 Warszawa</w:t>
            </w:r>
          </w:p>
          <w:p w14:paraId="11ACBD8F" w14:textId="06ADAF23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Międzynarodowy Port Lotniczy im. Jana Pawła II Kraków – Balice Sp. z o.o. ul. kpt. M. Medweckiego 1, 32-083 Balice</w:t>
            </w:r>
          </w:p>
          <w:p w14:paraId="2AF0DFB5" w14:textId="50248650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Gdańsk im. Lecha Wałęsy Sp. z o.o. ul. Słowackiego 200, 80-298 Gdańsk</w:t>
            </w:r>
          </w:p>
          <w:p w14:paraId="75C2FB8A" w14:textId="2441988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Międzynarodowy Port Lotniczy Katowice w Pyrzowicach ul. Wolności 90, 42-625 Ożarowice</w:t>
            </w:r>
          </w:p>
          <w:p w14:paraId="5438E6B3" w14:textId="038581B6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Szczecin – Goleniów im. NSZZ Solidarność Sp. z o.o. Glewice 1a, 72-100 Goleniów</w:t>
            </w:r>
          </w:p>
          <w:p w14:paraId="25F74DC0" w14:textId="33CDD09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Poznań – Ławica Sp. z o.o. ul. Bukowska 285, 60-189 Poznań</w:t>
            </w:r>
          </w:p>
          <w:p w14:paraId="1B6E87BC" w14:textId="79C8613C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Wrocław Sp. z o.o. ul. Graniczna 190, 54-530 Wrocław</w:t>
            </w:r>
          </w:p>
          <w:p w14:paraId="7A59E79F" w14:textId="17472AF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im. Ignacego Paderewskiego Bydgoszcz S.A. Al. Jana Pawła II 158, 85-151 Bydgoszcz</w:t>
            </w:r>
          </w:p>
          <w:p w14:paraId="6617C508" w14:textId="20481C6D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Rzeszów – Jasionka Sp. z o.o. Jasionka 942, 36-002 Jasionka</w:t>
            </w:r>
          </w:p>
          <w:p w14:paraId="38EEB0ED" w14:textId="09773B25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Zielona Góra 66-110 Babimost, skrytka pocztowa 4</w:t>
            </w:r>
          </w:p>
          <w:p w14:paraId="380658F4" w14:textId="3E24C11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Łódź im. Władysława Reymonta Sp. z o.o. ul. gen. S. Maczka 35, 94-328 Łódź</w:t>
            </w:r>
          </w:p>
          <w:p w14:paraId="668F4ED9" w14:textId="2310C0F0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Mazowiecki Port Lotniczy Warszawa – Modlin Sp. z o.o. ul. gen. Wiktora Thommee 1a, 05-102 Nowy Dwór Mazowiecki</w:t>
            </w:r>
          </w:p>
          <w:p w14:paraId="22D0BC3E" w14:textId="54C67D65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Lublin S.A. ul. Jana III Sobieskiego 1, 21-040 Świdnik</w:t>
            </w:r>
          </w:p>
          <w:p w14:paraId="3CD24F18" w14:textId="5DC56D1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Radom S.A. ul. Kaszubska 2, 26-600 Radom</w:t>
            </w:r>
          </w:p>
          <w:p w14:paraId="6B312AE0" w14:textId="79F73703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Port Lotniczy Olsztyn Mazury Sp. z o.o. Szymany 150, 12-100 Szczytno</w:t>
            </w:r>
          </w:p>
          <w:p w14:paraId="5846C770" w14:textId="1C06739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US"/>
              </w:rPr>
              <w:t xml:space="preserve">AMC </w:t>
            </w:r>
            <w:r w:rsidR="00965E87" w:rsidRPr="00D343FB">
              <w:rPr>
                <w:rFonts w:ascii="Times New Roman" w:hAnsi="Times New Roman"/>
                <w:lang w:val="en-US"/>
              </w:rPr>
              <w:t>Aviation</w:t>
            </w:r>
            <w:r w:rsidRPr="00D343FB">
              <w:rPr>
                <w:rFonts w:ascii="Times New Roman" w:hAnsi="Times New Roman"/>
                <w:lang w:val="en-US"/>
              </w:rPr>
              <w:t xml:space="preserve"> Sp. z o.o.</w:t>
            </w:r>
            <w:r w:rsidRPr="00D343FB">
              <w:rPr>
                <w:rFonts w:ascii="Times New Roman" w:hAnsi="Times New Roman"/>
                <w:lang w:val="en-GB"/>
              </w:rPr>
              <w:t xml:space="preserve"> </w:t>
            </w:r>
            <w:r w:rsidR="00965E87" w:rsidRPr="00D343FB">
              <w:rPr>
                <w:rFonts w:ascii="Times New Roman" w:hAnsi="Times New Roman"/>
                <w:lang w:val="en-US"/>
              </w:rPr>
              <w:t>al. Krakowska 110/114</w:t>
            </w:r>
            <w:r w:rsidR="008E71B6">
              <w:rPr>
                <w:rFonts w:ascii="Times New Roman" w:hAnsi="Times New Roman"/>
                <w:lang w:val="en-US"/>
              </w:rPr>
              <w:t>,</w:t>
            </w:r>
            <w:r w:rsidR="00965E87" w:rsidRPr="00D343FB">
              <w:rPr>
                <w:rFonts w:ascii="Times New Roman" w:hAnsi="Times New Roman"/>
                <w:lang w:val="en-US"/>
              </w:rPr>
              <w:t xml:space="preserve"> 02-256 Warszawa</w:t>
            </w:r>
          </w:p>
          <w:p w14:paraId="2E5DFB77" w14:textId="77777777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 xml:space="preserve">Bartolini Air Regional Sp. z o.o. ul. Ozorkowa 22, 93-285 Łódź </w:t>
            </w:r>
          </w:p>
          <w:p w14:paraId="6684CDA8" w14:textId="3E8E1BE3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Jet Story Sp. z o.o. ul. </w:t>
            </w:r>
            <w:r w:rsidRPr="00D343FB">
              <w:rPr>
                <w:rFonts w:ascii="Times New Roman" w:hAnsi="Times New Roman"/>
                <w:lang w:val="en-US"/>
              </w:rPr>
              <w:t>Komitetu Obrony Robotników 47, 02-146 Warszawa</w:t>
            </w:r>
          </w:p>
          <w:p w14:paraId="0FD2A689" w14:textId="6CD0A2B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  <w:lang w:val="fr-FR"/>
              </w:rPr>
            </w:pPr>
            <w:r w:rsidRPr="00D343FB">
              <w:rPr>
                <w:rFonts w:ascii="Times New Roman" w:hAnsi="Times New Roman"/>
                <w:lang w:val="fr-FR"/>
              </w:rPr>
              <w:t xml:space="preserve">EnterAir Sp. z o.o. </w:t>
            </w:r>
            <w:r w:rsidRPr="00D343FB">
              <w:rPr>
                <w:rFonts w:ascii="Times New Roman" w:hAnsi="Times New Roman"/>
              </w:rPr>
              <w:t xml:space="preserve">ul. </w:t>
            </w:r>
            <w:r w:rsidRPr="00D343FB">
              <w:rPr>
                <w:rFonts w:ascii="Times New Roman" w:hAnsi="Times New Roman"/>
                <w:lang w:val="en-US"/>
              </w:rPr>
              <w:t>Komitetu Obrony Robotników 74, 02-146 Warszawa</w:t>
            </w:r>
            <w:r w:rsidRPr="00D343FB">
              <w:rPr>
                <w:rFonts w:ascii="Times New Roman" w:hAnsi="Times New Roman"/>
                <w:lang w:val="fr-FR"/>
              </w:rPr>
              <w:t> </w:t>
            </w:r>
          </w:p>
          <w:p w14:paraId="1F4B9CF4" w14:textId="1B000D3F" w:rsidR="00707B7D" w:rsidRPr="00D343FB" w:rsidRDefault="00965E87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„</w:t>
            </w:r>
            <w:r w:rsidR="00707B7D" w:rsidRPr="00D343FB">
              <w:rPr>
                <w:rFonts w:ascii="Times New Roman" w:hAnsi="Times New Roman"/>
              </w:rPr>
              <w:t>Royal Star</w:t>
            </w:r>
            <w:r w:rsidRPr="00D343FB">
              <w:rPr>
                <w:rFonts w:ascii="Times New Roman" w:hAnsi="Times New Roman"/>
              </w:rPr>
              <w:t>”</w:t>
            </w:r>
            <w:r w:rsidR="00707B7D" w:rsidRPr="00D343FB">
              <w:rPr>
                <w:rFonts w:ascii="Times New Roman" w:hAnsi="Times New Roman"/>
              </w:rPr>
              <w:t xml:space="preserve"> Sp. z o.o. ul. Drogowców 7, 39-200 Dębica</w:t>
            </w:r>
          </w:p>
          <w:p w14:paraId="32D1058C" w14:textId="6C08E29B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835613">
              <w:rPr>
                <w:rFonts w:ascii="Times New Roman" w:hAnsi="Times New Roman"/>
                <w:lang w:val="en-US"/>
              </w:rPr>
              <w:t xml:space="preserve">PLL LOT S.A. </w:t>
            </w:r>
            <w:r w:rsidR="00965E87" w:rsidRPr="00835613">
              <w:rPr>
                <w:rFonts w:ascii="Times New Roman" w:hAnsi="Times New Roman"/>
                <w:lang w:val="en-US"/>
              </w:rPr>
              <w:t>u</w:t>
            </w:r>
            <w:r w:rsidRPr="00835613">
              <w:rPr>
                <w:rFonts w:ascii="Times New Roman" w:hAnsi="Times New Roman"/>
                <w:lang w:val="en-US"/>
              </w:rPr>
              <w:t xml:space="preserve">l. </w:t>
            </w:r>
            <w:r w:rsidRPr="00D343FB">
              <w:rPr>
                <w:rFonts w:ascii="Times New Roman" w:hAnsi="Times New Roman"/>
              </w:rPr>
              <w:t>Komitetu Obrony Robotników 43, 00-906 Warszawa</w:t>
            </w:r>
          </w:p>
          <w:p w14:paraId="17CE9B96" w14:textId="2BEA4168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Smart JET Sp. z o.o. ul. gen. Wiktora Thommee 1a, 05-102 Nowy Dwór Mazowiecki</w:t>
            </w:r>
          </w:p>
          <w:p w14:paraId="6C338728" w14:textId="54DBF83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Sky Taxi Sp. z o.o. ul. Namysłowska 112, 46-081 Dobrzeń Wielki</w:t>
            </w:r>
          </w:p>
          <w:p w14:paraId="0FD4F62E" w14:textId="15CF249D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SprintAir S</w:t>
            </w:r>
            <w:r w:rsidR="008E71B6">
              <w:rPr>
                <w:rFonts w:ascii="Times New Roman" w:hAnsi="Times New Roman"/>
              </w:rPr>
              <w:t>.</w:t>
            </w:r>
            <w:r w:rsidRPr="00D343FB">
              <w:rPr>
                <w:rFonts w:ascii="Times New Roman" w:hAnsi="Times New Roman"/>
              </w:rPr>
              <w:t>A</w:t>
            </w:r>
            <w:r w:rsidR="008E71B6">
              <w:rPr>
                <w:rFonts w:ascii="Times New Roman" w:hAnsi="Times New Roman"/>
              </w:rPr>
              <w:t>.</w:t>
            </w:r>
            <w:r w:rsidRPr="00D343FB">
              <w:rPr>
                <w:rFonts w:ascii="Times New Roman" w:hAnsi="Times New Roman"/>
              </w:rPr>
              <w:t xml:space="preserve"> ul. Ruchliwa 22, 02-182 Warszawa</w:t>
            </w:r>
          </w:p>
          <w:p w14:paraId="77F504DF" w14:textId="46BC5674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ATSM Sp. z o.o. ul. </w:t>
            </w:r>
            <w:r w:rsidRPr="00D343FB">
              <w:rPr>
                <w:rFonts w:ascii="Times New Roman" w:hAnsi="Times New Roman"/>
                <w:lang w:val="en-US"/>
              </w:rPr>
              <w:t>Batystowa 4/1, 02-835 Warszawa</w:t>
            </w:r>
          </w:p>
          <w:p w14:paraId="0DC8C7C4" w14:textId="424D7B8E" w:rsidR="00707B7D" w:rsidRPr="00835613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SprintAir Cargo Sp. z o.o. ul. Ruchliwa 22, 02-182 Warszawa</w:t>
            </w:r>
          </w:p>
          <w:p w14:paraId="6AA45B47" w14:textId="3189C124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US"/>
              </w:rPr>
              <w:t>General Aviation Services Sp. z o.o. Góraszka, 05-462 Wiązowna</w:t>
            </w:r>
          </w:p>
          <w:p w14:paraId="3E4EB206" w14:textId="3DBA8C5D" w:rsidR="00707B7D" w:rsidRPr="001B6377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Husair Sp. z o.o. </w:t>
            </w:r>
            <w:r w:rsidR="005C1E70">
              <w:rPr>
                <w:rFonts w:ascii="Times New Roman" w:hAnsi="Times New Roman"/>
              </w:rPr>
              <w:t>u</w:t>
            </w:r>
            <w:r w:rsidRPr="00D343FB">
              <w:rPr>
                <w:rFonts w:ascii="Times New Roman" w:hAnsi="Times New Roman"/>
              </w:rPr>
              <w:t xml:space="preserve">l. </w:t>
            </w:r>
            <w:r w:rsidRPr="001B6377">
              <w:rPr>
                <w:rFonts w:ascii="Times New Roman" w:hAnsi="Times New Roman"/>
              </w:rPr>
              <w:t>Księżycowa 3, hangar 11, 01-934 Warszawa</w:t>
            </w:r>
          </w:p>
          <w:p w14:paraId="6C1053FD" w14:textId="149AA501" w:rsidR="00707B7D" w:rsidRPr="00D343FB" w:rsidRDefault="00707B7D" w:rsidP="00D343FB">
            <w:pPr>
              <w:numPr>
                <w:ilvl w:val="0"/>
                <w:numId w:val="8"/>
              </w:numPr>
              <w:spacing w:line="276" w:lineRule="auto"/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Ibex – U.L. Sp. z o.o. ul. Jana Kazimierza 11/4, 01-248 Warszawa</w:t>
            </w:r>
          </w:p>
          <w:p w14:paraId="4972F983" w14:textId="0BB8D362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Lotnicze Pogotowie Ratunkowe ul. Księżycowa 5, 01-934Warszawa</w:t>
            </w:r>
          </w:p>
          <w:p w14:paraId="5ADADFF1" w14:textId="4C921D09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Smartwings Polska Sp. z o.o. ul. </w:t>
            </w:r>
            <w:r w:rsidRPr="00D343FB">
              <w:rPr>
                <w:rFonts w:ascii="Times New Roman" w:hAnsi="Times New Roman"/>
                <w:lang w:val="en-US"/>
              </w:rPr>
              <w:t>Gordona Benetta 2b, 02-159 Warszawa</w:t>
            </w:r>
          </w:p>
          <w:p w14:paraId="19CE1A16" w14:textId="1C70B238" w:rsidR="00707B7D" w:rsidRPr="00D343FB" w:rsidRDefault="00707B7D" w:rsidP="00D343FB">
            <w:pPr>
              <w:numPr>
                <w:ilvl w:val="0"/>
                <w:numId w:val="8"/>
              </w:numPr>
              <w:jc w:val="left"/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  <w:lang w:val="en-US"/>
              </w:rPr>
              <w:t>Ryanair SUN S</w:t>
            </w:r>
            <w:r w:rsidR="005C1E70" w:rsidRPr="001B6377">
              <w:rPr>
                <w:rFonts w:ascii="Times New Roman" w:hAnsi="Times New Roman"/>
                <w:lang w:val="en-US"/>
              </w:rPr>
              <w:t>.</w:t>
            </w:r>
            <w:r w:rsidRPr="001B6377">
              <w:rPr>
                <w:rFonts w:ascii="Times New Roman" w:hAnsi="Times New Roman"/>
                <w:lang w:val="en-US"/>
              </w:rPr>
              <w:t>A</w:t>
            </w:r>
            <w:r w:rsidR="005C1E70" w:rsidRPr="001B6377">
              <w:rPr>
                <w:rFonts w:ascii="Times New Roman" w:hAnsi="Times New Roman"/>
                <w:lang w:val="en-US"/>
              </w:rPr>
              <w:t>.</w:t>
            </w:r>
            <w:r w:rsidRPr="001B6377">
              <w:rPr>
                <w:rFonts w:ascii="Times New Roman" w:hAnsi="Times New Roman"/>
                <w:lang w:val="en-US"/>
              </w:rPr>
              <w:t xml:space="preserve"> ul. </w:t>
            </w:r>
            <w:r w:rsidRPr="00D343FB">
              <w:rPr>
                <w:rFonts w:ascii="Times New Roman" w:hAnsi="Times New Roman"/>
              </w:rPr>
              <w:t>Cybernet</w:t>
            </w:r>
            <w:r w:rsidR="002643C4">
              <w:rPr>
                <w:rFonts w:ascii="Times New Roman" w:hAnsi="Times New Roman"/>
              </w:rPr>
              <w:t>y</w:t>
            </w:r>
            <w:r w:rsidRPr="00D343FB">
              <w:rPr>
                <w:rFonts w:ascii="Times New Roman" w:hAnsi="Times New Roman"/>
              </w:rPr>
              <w:t>ki 21, 02-677 Warszawa</w:t>
            </w:r>
          </w:p>
          <w:p w14:paraId="12CB894C" w14:textId="2A71E0EB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DHL Express (Poland) Sp. z o.o. </w:t>
            </w:r>
            <w:r w:rsidRPr="00D343FB">
              <w:rPr>
                <w:rFonts w:ascii="Times New Roman" w:hAnsi="Times New Roman"/>
              </w:rPr>
              <w:t>ul. Wirażowa 37, 02-158 Warszawa</w:t>
            </w:r>
          </w:p>
          <w:p w14:paraId="255EF124" w14:textId="6DCE514A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UPS Polska Sp. z o.o. ul. Prądzyńskiego 1/3, 01-222 Warszawa</w:t>
            </w:r>
          </w:p>
          <w:p w14:paraId="4655C553" w14:textId="1F116D62" w:rsidR="00E42AF8" w:rsidRPr="001B6377" w:rsidRDefault="008B1C7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GB"/>
              </w:rPr>
              <w:t>TNT Express Worldwide (Poland) Sp. z o. o.</w:t>
            </w:r>
            <w:r w:rsidR="00E42AF8" w:rsidRPr="00D343FB">
              <w:rPr>
                <w:rFonts w:ascii="Times New Roman" w:hAnsi="Times New Roman"/>
                <w:lang w:val="en-US"/>
              </w:rPr>
              <w:t xml:space="preserve"> ul. </w:t>
            </w:r>
            <w:r w:rsidR="00E42AF8" w:rsidRPr="001B6377">
              <w:rPr>
                <w:rFonts w:ascii="Times New Roman" w:hAnsi="Times New Roman"/>
                <w:lang w:val="en-US"/>
              </w:rPr>
              <w:t>Annopol 19, 03-236 Warszawa</w:t>
            </w:r>
          </w:p>
          <w:p w14:paraId="637FD36C" w14:textId="1E2C2B47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>Welcome Airport Services Sp. z o.o</w:t>
            </w:r>
            <w:r w:rsidR="00BB7946">
              <w:rPr>
                <w:rFonts w:ascii="Times New Roman" w:hAnsi="Times New Roman"/>
                <w:lang w:val="en-GB"/>
              </w:rPr>
              <w:t>.</w:t>
            </w:r>
            <w:r w:rsidRPr="00D343FB">
              <w:rPr>
                <w:rFonts w:ascii="Times New Roman" w:hAnsi="Times New Roman"/>
                <w:lang w:val="en-US"/>
              </w:rPr>
              <w:t xml:space="preserve"> ul. </w:t>
            </w:r>
            <w:r w:rsidRPr="00D343FB">
              <w:rPr>
                <w:rFonts w:ascii="Times New Roman" w:hAnsi="Times New Roman"/>
              </w:rPr>
              <w:t>Żwirki i Wigury 1, 00-906 Warszawa</w:t>
            </w:r>
          </w:p>
          <w:p w14:paraId="39DEC102" w14:textId="1F8512BE" w:rsidR="00E42AF8" w:rsidRPr="00D343FB" w:rsidRDefault="008B1C7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>FedEx Express Poland International Sp. z o. o.</w:t>
            </w:r>
            <w:r w:rsidR="00E42AF8" w:rsidRPr="00D343FB">
              <w:rPr>
                <w:rFonts w:ascii="Times New Roman" w:hAnsi="Times New Roman"/>
                <w:lang w:val="en-US"/>
              </w:rPr>
              <w:t xml:space="preserve"> ul. </w:t>
            </w:r>
            <w:r w:rsidR="00E42AF8" w:rsidRPr="00D343FB">
              <w:rPr>
                <w:rFonts w:ascii="Times New Roman" w:hAnsi="Times New Roman"/>
              </w:rPr>
              <w:t>Wirażowa 35, 02-158 Warszawa</w:t>
            </w:r>
          </w:p>
          <w:p w14:paraId="319F3D59" w14:textId="4F2CD598" w:rsidR="00E42AF8" w:rsidRPr="00D343FB" w:rsidRDefault="008B1C7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C23CCC">
              <w:rPr>
                <w:rFonts w:ascii="Times New Roman" w:hAnsi="Times New Roman"/>
              </w:rPr>
              <w:t>Rohlig Suus Logistics S.A.</w:t>
            </w:r>
            <w:r w:rsidR="00E42AF8" w:rsidRPr="00C23CCC">
              <w:rPr>
                <w:rFonts w:ascii="Times New Roman" w:hAnsi="Times New Roman"/>
              </w:rPr>
              <w:t xml:space="preserve"> ul. </w:t>
            </w:r>
            <w:r w:rsidR="00E42AF8" w:rsidRPr="00D343FB">
              <w:rPr>
                <w:rFonts w:ascii="Times New Roman" w:hAnsi="Times New Roman"/>
              </w:rPr>
              <w:t>Równoległa 4A, 02-235 Warszawa</w:t>
            </w:r>
          </w:p>
          <w:p w14:paraId="45014E15" w14:textId="060B0881" w:rsidR="00E42AF8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US"/>
              </w:rPr>
              <w:t>LS Airport Services ul. Gordona Bennetta 2b, 02-159 Warszawa</w:t>
            </w:r>
          </w:p>
          <w:p w14:paraId="5E1D51CC" w14:textId="7051FFFF" w:rsidR="00707B7D" w:rsidRPr="00D343FB" w:rsidRDefault="00E42AF8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Expeditors Polska Sp. z o.o. ul. Żwirki i Wigury 16B, 02-092 Warszawa</w:t>
            </w:r>
          </w:p>
          <w:p w14:paraId="25D7D49B" w14:textId="0FFFEF69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Airnet Service Sp. z o.o. al. </w:t>
            </w:r>
            <w:r w:rsidRPr="00D343FB">
              <w:rPr>
                <w:rFonts w:ascii="Times New Roman" w:hAnsi="Times New Roman"/>
              </w:rPr>
              <w:t>Krakowska 106, 02-256 Warszawa</w:t>
            </w:r>
          </w:p>
          <w:p w14:paraId="6403FB73" w14:textId="00E2C4BD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Poczta Polska S.A. ul. Łączyny 8, 36-002 Warszawa</w:t>
            </w:r>
          </w:p>
          <w:p w14:paraId="07D24D03" w14:textId="6ADEE864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Lotniczy Dworzec Towarowy Sp. z o.o. ul. Zarembowicza 40, 54-530 Wrocław</w:t>
            </w:r>
          </w:p>
          <w:p w14:paraId="29E12496" w14:textId="2C40EB3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Grom Cargo Serwis ul. Bukowska 285, 60-189 Poznań</w:t>
            </w:r>
          </w:p>
          <w:p w14:paraId="3D4566AF" w14:textId="24B74FAC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Panalpina Polska Sp. z o. o. ul. Graniczna 8E, 54-610 Wrocław</w:t>
            </w:r>
          </w:p>
          <w:p w14:paraId="2A811966" w14:textId="4DA00EA5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Kuehne + Nagel Sp. z o. o. ul. Wirażowa 35, 02-158 Warszawa</w:t>
            </w:r>
          </w:p>
          <w:p w14:paraId="35B81F05" w14:textId="105EA2F7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DHL Global Forwarding Sp. z o. o. ul. </w:t>
            </w:r>
            <w:r w:rsidRPr="00D343FB">
              <w:rPr>
                <w:rFonts w:ascii="Times New Roman" w:hAnsi="Times New Roman"/>
              </w:rPr>
              <w:t>Wirażowa 35, 02-158 Warszawa</w:t>
            </w:r>
          </w:p>
          <w:p w14:paraId="738AC8CC" w14:textId="74B0DED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lastRenderedPageBreak/>
              <w:t xml:space="preserve">Schenker Sp. z o.o. </w:t>
            </w:r>
            <w:r w:rsidRPr="00D343FB">
              <w:rPr>
                <w:rFonts w:ascii="Times New Roman" w:hAnsi="Times New Roman"/>
              </w:rPr>
              <w:t>ul. Zarembowicza 40, 54-530 Wrocław</w:t>
            </w:r>
          </w:p>
          <w:p w14:paraId="2E462CFA" w14:textId="15BFD47A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Trans Dan Sp. z o. o. ul. Jodłowicka 7, 54-062 Wrocław</w:t>
            </w:r>
          </w:p>
          <w:p w14:paraId="553837D4" w14:textId="71D2389C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Kador Sp. z o.o. ul. Leona Wyczółkowskiego 12, 44-109 Gliwice</w:t>
            </w:r>
          </w:p>
          <w:p w14:paraId="68C2A504" w14:textId="34FA52EB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Grom Cargo Serwis Sp. z o.o. Sp.k. ul. Bukowska 41, 62-081 Wysogotowo</w:t>
            </w:r>
          </w:p>
          <w:p w14:paraId="0E4184F7" w14:textId="32C69C8F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DSV Air&amp;Sea Sp. z o.o. </w:t>
            </w:r>
            <w:r w:rsidRPr="00D343FB">
              <w:rPr>
                <w:rFonts w:ascii="Times New Roman" w:hAnsi="Times New Roman"/>
              </w:rPr>
              <w:t>ul. Wirażowa 35, 02-158 Warszawa</w:t>
            </w:r>
          </w:p>
          <w:p w14:paraId="0296AA89" w14:textId="6D9673F7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AVSEC Cargo ul. Bukowska 41, 62-081 Wysogotowo</w:t>
            </w:r>
          </w:p>
          <w:p w14:paraId="69190316" w14:textId="5087EA9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Zet Transport Sp. z o.o. ul. Bukowska 41, 62-081 Wysogotowo</w:t>
            </w:r>
          </w:p>
          <w:p w14:paraId="7F986178" w14:textId="67F2388B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Ceva Freight (Poland) Sp. z o.o. </w:t>
            </w:r>
            <w:r w:rsidRPr="00D343FB">
              <w:rPr>
                <w:rFonts w:ascii="Times New Roman" w:hAnsi="Times New Roman"/>
              </w:rPr>
              <w:t>ul. Wirażowa 35, 02-158 Warszawa</w:t>
            </w:r>
          </w:p>
          <w:p w14:paraId="13E040D1" w14:textId="32505925" w:rsidR="00707B7D" w:rsidRPr="001B6377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Wide Bridge Forwarding Sp. z o.o. ul. </w:t>
            </w:r>
            <w:r w:rsidRPr="001B6377">
              <w:rPr>
                <w:rFonts w:ascii="Times New Roman" w:hAnsi="Times New Roman"/>
              </w:rPr>
              <w:t>Paderewskiego 1, 86-005 Białe Błota</w:t>
            </w:r>
          </w:p>
          <w:p w14:paraId="1D234E18" w14:textId="2B234072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Export Pack Polska Sp. z o.o.&amp; Co. Sp. k. ul. Alberta Borsiga 6, 41-807 Zabrze</w:t>
            </w:r>
          </w:p>
          <w:p w14:paraId="6E77C316" w14:textId="6305D11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Colex K. Stański, J. Grabska Spółka Jawna ul. Wirażowa 35, 02-158 Warszawa</w:t>
            </w:r>
          </w:p>
          <w:p w14:paraId="03841111" w14:textId="5BC5F888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1B6377">
              <w:rPr>
                <w:rFonts w:ascii="Times New Roman" w:hAnsi="Times New Roman"/>
              </w:rPr>
              <w:t xml:space="preserve">Bollore Logistics Poland Sp. z o.o. </w:t>
            </w:r>
            <w:r w:rsidRPr="00D343FB">
              <w:rPr>
                <w:rFonts w:ascii="Times New Roman" w:hAnsi="Times New Roman"/>
              </w:rPr>
              <w:t>ul. Wirażowa 35, 02-158 Warszawa</w:t>
            </w:r>
          </w:p>
          <w:p w14:paraId="7C8F6634" w14:textId="26F34136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Uni-Logistics Sp. z o.o. ul. Wirażowa 35, 02-158 Warszawa</w:t>
            </w:r>
          </w:p>
          <w:p w14:paraId="2450DF77" w14:textId="3572D318" w:rsidR="00707B7D" w:rsidRPr="001B6377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2148C3">
              <w:rPr>
                <w:rFonts w:ascii="Times New Roman" w:hAnsi="Times New Roman"/>
                <w:lang w:val="en-US"/>
              </w:rPr>
              <w:t xml:space="preserve">M&amp;M Air Sea Cargo S.A. ul. </w:t>
            </w:r>
            <w:r w:rsidRPr="00D343FB">
              <w:rPr>
                <w:rFonts w:ascii="Times New Roman" w:hAnsi="Times New Roman"/>
              </w:rPr>
              <w:t>Wirażowa 35, 02-158 Warszawa</w:t>
            </w:r>
          </w:p>
          <w:p w14:paraId="4D999466" w14:textId="0AEAD524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Cargomind (Poland) Sp. z o.o. ul. Wirażowa 35, 02-158 Warszawa</w:t>
            </w:r>
          </w:p>
          <w:p w14:paraId="17DEE16D" w14:textId="7F4E3294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  <w:lang w:val="en-GB"/>
              </w:rPr>
            </w:pPr>
            <w:r w:rsidRPr="00D343FB">
              <w:rPr>
                <w:rFonts w:ascii="Times New Roman" w:hAnsi="Times New Roman"/>
                <w:lang w:val="en-GB"/>
              </w:rPr>
              <w:t>Radiometer Solutions Sp. z o.o. ul. Stalowa 6, 73-110 Stargard</w:t>
            </w:r>
          </w:p>
          <w:p w14:paraId="5C7ADA4D" w14:textId="75F757F7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WRO-LOT Usługi Lotniskowe Sp. z o.o. ul. Skarżyńskiego 36, 54-530 Wrocław</w:t>
            </w:r>
          </w:p>
          <w:p w14:paraId="7015B5A7" w14:textId="2CF696D8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</w:rPr>
              <w:t xml:space="preserve">DO &amp; Co Poland Sp. z o.o. ul. </w:t>
            </w:r>
            <w:r w:rsidRPr="00D343FB">
              <w:rPr>
                <w:rFonts w:ascii="Times New Roman" w:hAnsi="Times New Roman"/>
                <w:lang w:val="en-US"/>
              </w:rPr>
              <w:t>Sekundowa 2, 02-178 Warszawa</w:t>
            </w:r>
          </w:p>
          <w:p w14:paraId="0BE6C746" w14:textId="0B05968B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D343FB">
              <w:rPr>
                <w:rFonts w:ascii="Times New Roman" w:hAnsi="Times New Roman"/>
                <w:lang w:val="en-US"/>
              </w:rPr>
              <w:t>PPHU POL-TRANS Catering Export-Import Wrocław Osiedle 166, 42-463 Mierzęcice</w:t>
            </w:r>
          </w:p>
          <w:p w14:paraId="2F7788CB" w14:textId="706CFD34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 xml:space="preserve">Ferier Sp. z o.o. ul. </w:t>
            </w:r>
            <w:r w:rsidR="00F7792F" w:rsidRPr="00D343FB">
              <w:rPr>
                <w:rFonts w:ascii="Times New Roman" w:hAnsi="Times New Roman"/>
              </w:rPr>
              <w:t>Żwirki i Wigury 1, 00-906</w:t>
            </w:r>
            <w:r w:rsidRPr="00D343FB">
              <w:rPr>
                <w:rFonts w:ascii="Times New Roman" w:hAnsi="Times New Roman"/>
              </w:rPr>
              <w:t xml:space="preserve"> Warszawa</w:t>
            </w:r>
          </w:p>
          <w:p w14:paraId="17C7AEB6" w14:textId="203AA243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Polska Wytwórnia Papierów Wartościowych S.A. ul. Sanguszki 1, 00-222 Warszawa</w:t>
            </w:r>
          </w:p>
          <w:p w14:paraId="62864339" w14:textId="046FAD40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Sonoco Poland Packaging Services Sp. z o.o. ul. Przemysłowa 1, Sosnowiec Pieńki, 95-010 Stryków</w:t>
            </w:r>
          </w:p>
          <w:p w14:paraId="53CDCA02" w14:textId="4B56199C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Polska Sp. z o.o. ul. Graniczna 7, 87-800 Włocławek</w:t>
            </w:r>
          </w:p>
          <w:p w14:paraId="18CB8293" w14:textId="412159B4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 xml:space="preserve">Danfoss Power Solutions Sp. z o.o. ul. </w:t>
            </w:r>
            <w:r w:rsidRPr="00D343FB">
              <w:rPr>
                <w:rFonts w:ascii="Times New Roman" w:hAnsi="Times New Roman"/>
              </w:rPr>
              <w:t>Logistyczna 1, Bielany Wrocławskie, Kobierzyce</w:t>
            </w:r>
          </w:p>
          <w:p w14:paraId="525CFEB1" w14:textId="377B14A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Molex Sp. z o.o. ul. Poznańska 23, 69-200 Sulęcin</w:t>
            </w:r>
          </w:p>
          <w:p w14:paraId="54A3BC78" w14:textId="07D4F2D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MTU Aero Engines Polska Sp. z o.o. Tajęcina 108, 36-002 Jasionka</w:t>
            </w:r>
          </w:p>
          <w:p w14:paraId="28821E36" w14:textId="0F75BCB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Pratt&amp;Whitney Rzeszów S.A. ul. Hetmańska 120, 35-078 Rzeszów</w:t>
            </w:r>
          </w:p>
          <w:p w14:paraId="22CDD68F" w14:textId="32D657D5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23CCC">
              <w:rPr>
                <w:rFonts w:ascii="Times New Roman" w:hAnsi="Times New Roman"/>
              </w:rPr>
              <w:t xml:space="preserve">Hamilton Sundstrand Poland Sp. z o.o. ul. </w:t>
            </w:r>
            <w:r w:rsidRPr="00D343FB">
              <w:rPr>
                <w:rFonts w:ascii="Times New Roman" w:hAnsi="Times New Roman"/>
              </w:rPr>
              <w:t>Hetmańska 120, 35-078 Rzeszów</w:t>
            </w:r>
          </w:p>
          <w:p w14:paraId="4DACF6BA" w14:textId="63F4508E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KGHM Polska Miedź S.A. Oddział Huta Miedzi "Głogów" ul. Żukowicka 1, 67-200 Głogów</w:t>
            </w:r>
          </w:p>
          <w:p w14:paraId="7F82220C" w14:textId="2EC3510C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Gemalto Sp. z o.o. ul. Skarszewska 2, 83-110 Tczew</w:t>
            </w:r>
          </w:p>
          <w:p w14:paraId="3E611674" w14:textId="1608FDB2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Lumileds Poland S.A. ul. Lutomierska 50, 95-200 Pabianice</w:t>
            </w:r>
          </w:p>
          <w:p w14:paraId="2DA72FCA" w14:textId="71F96250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Zakłady Farmaceutyczne Polpharma S.A. ul. Pelplińska 19, 83-200 Starogard Gdański</w:t>
            </w:r>
          </w:p>
          <w:p w14:paraId="01E13573" w14:textId="5FD5898D" w:rsidR="00707B7D" w:rsidRPr="00D343FB" w:rsidRDefault="00707B7D" w:rsidP="00D343FB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Avio Polska Sp. z o.o. ul. Grażyńskiego 141, 43-300 Bielsko-Biała</w:t>
            </w:r>
          </w:p>
          <w:p w14:paraId="37CC20D2" w14:textId="1E0ACD2D" w:rsidR="00707B7D" w:rsidRPr="00D343FB" w:rsidRDefault="00707B7D" w:rsidP="00707B7D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  <w:lang w:val="en-GB"/>
              </w:rPr>
              <w:t xml:space="preserve">DHL Exel Supply Chain (Poland) ul. </w:t>
            </w:r>
            <w:r w:rsidRPr="00D343FB">
              <w:rPr>
                <w:rFonts w:ascii="Times New Roman" w:hAnsi="Times New Roman"/>
              </w:rPr>
              <w:t>Kablowa 1, 71-001 Szczecin</w:t>
            </w:r>
          </w:p>
          <w:p w14:paraId="2D13D9EE" w14:textId="5A238C4D" w:rsidR="00F332A2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Aero Partner Sp. z o.o. ul. 17 Stycznia 39, 00-906 Warszawa</w:t>
            </w:r>
          </w:p>
          <w:p w14:paraId="6D9C4E6F" w14:textId="0C54C557" w:rsidR="00707B7D" w:rsidRPr="00D343FB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Aeroklub Polski ul. 17 Stycznia 39, 00-906 Warszawa</w:t>
            </w:r>
            <w:r w:rsidRPr="00D343FB">
              <w:rPr>
                <w:rFonts w:ascii="Times New Roman" w:hAnsi="Times New Roman"/>
              </w:rPr>
              <w:tab/>
            </w:r>
          </w:p>
          <w:p w14:paraId="518527EB" w14:textId="77777777" w:rsidR="00E74C16" w:rsidRDefault="00707B7D" w:rsidP="00D343FB">
            <w:pPr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D343FB">
              <w:rPr>
                <w:rFonts w:ascii="Times New Roman" w:hAnsi="Times New Roman"/>
              </w:rPr>
              <w:t>Polska Agencja Żeglugi Powietrznej ul. Wieżowa, 02-147 Warszawa</w:t>
            </w:r>
            <w:r w:rsidR="00EC39FD">
              <w:rPr>
                <w:rFonts w:ascii="Times New Roman" w:hAnsi="Times New Roman"/>
              </w:rPr>
              <w:t>.</w:t>
            </w:r>
          </w:p>
          <w:p w14:paraId="2079E366" w14:textId="57C60562" w:rsidR="00F70CE8" w:rsidRPr="00D343FB" w:rsidRDefault="00F70CE8" w:rsidP="001B6377">
            <w:pPr>
              <w:ind w:left="720"/>
              <w:rPr>
                <w:rFonts w:ascii="Times New Roman" w:hAnsi="Times New Roman"/>
              </w:rPr>
            </w:pPr>
          </w:p>
        </w:tc>
      </w:tr>
      <w:tr w:rsidR="00E74C16" w:rsidRPr="00840863" w14:paraId="3A339EF3" w14:textId="77777777" w:rsidTr="00E74C16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83F949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E74C16" w:rsidRPr="00840863" w14:paraId="459DFEAB" w14:textId="77777777" w:rsidTr="00E74C16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 w:val="restart"/>
            <w:shd w:val="clear" w:color="auto" w:fill="FFFFFF"/>
          </w:tcPr>
          <w:p w14:paraId="69659822" w14:textId="77777777" w:rsidR="00E74C16" w:rsidRPr="00840863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(ceny stałe z 201</w:t>
            </w:r>
            <w:r w:rsidR="00493BE1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r.)</w:t>
            </w:r>
          </w:p>
        </w:tc>
        <w:tc>
          <w:tcPr>
            <w:tcW w:w="7804" w:type="dxa"/>
            <w:gridSpan w:val="26"/>
            <w:shd w:val="clear" w:color="auto" w:fill="FFFFFF"/>
          </w:tcPr>
          <w:p w14:paraId="798A319B" w14:textId="77777777" w:rsidR="00E74C16" w:rsidRPr="00840863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E74C16" w:rsidRPr="00840863" w14:paraId="63DFDAE4" w14:textId="77777777" w:rsidTr="00E406A2">
        <w:trPr>
          <w:gridAfter w:val="1"/>
          <w:wAfter w:w="10" w:type="dxa"/>
          <w:trHeight w:val="142"/>
        </w:trPr>
        <w:tc>
          <w:tcPr>
            <w:tcW w:w="3133" w:type="dxa"/>
            <w:gridSpan w:val="3"/>
            <w:vMerge/>
            <w:shd w:val="clear" w:color="auto" w:fill="FFFFFF"/>
          </w:tcPr>
          <w:p w14:paraId="593FCD99" w14:textId="77777777" w:rsidR="00E74C16" w:rsidRPr="00840863" w:rsidRDefault="00E74C16" w:rsidP="00E74C16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735" w:type="dxa"/>
            <w:gridSpan w:val="3"/>
            <w:shd w:val="clear" w:color="auto" w:fill="FFFFFF"/>
          </w:tcPr>
          <w:p w14:paraId="7FBF3A80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6342B1F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7A673061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63B7FD8F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24874EC3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415" w:type="dxa"/>
            <w:shd w:val="clear" w:color="auto" w:fill="FFFFFF"/>
          </w:tcPr>
          <w:p w14:paraId="75E55352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79BA71BD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00AA50BB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0E7CD28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7B64C59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279BEF5A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399" w:type="dxa"/>
            <w:shd w:val="clear" w:color="auto" w:fill="FFFFFF"/>
          </w:tcPr>
          <w:p w14:paraId="243A190D" w14:textId="77777777" w:rsidR="00E74C16" w:rsidRPr="00840863" w:rsidRDefault="00E74C16" w:rsidP="00E74C16">
            <w:pPr>
              <w:spacing w:before="40" w:after="40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 (0-10)</w:t>
            </w:r>
          </w:p>
        </w:tc>
      </w:tr>
      <w:tr w:rsidR="00CD3A45" w:rsidRPr="00840863" w14:paraId="3052742C" w14:textId="77777777" w:rsidTr="00E406A2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DDD4E7F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4E1926A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35ED415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69F1856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719844A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798E418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6176000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06ED3C0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5625C18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017EF73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EDFE82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ED9155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191406B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39246EAA" w14:textId="77777777" w:rsidTr="00E406A2">
        <w:trPr>
          <w:trHeight w:val="32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63F7FB8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2D13977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3A6F0C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167094E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780D57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32D383F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7779AC5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11D6304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106A1C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567A346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293921B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0FCF629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22051C8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7ECA7BB8" w14:textId="77777777" w:rsidTr="00E406A2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5B640C1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7BDF138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37FC7BE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6C2A3BB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2B428DF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334C06B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06AB05E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6A0E642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45261CD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622C4B2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84CE19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877AC2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213705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50D416CB" w14:textId="77777777" w:rsidTr="00E406A2">
        <w:trPr>
          <w:trHeight w:val="344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8F93D2D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4CACC09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1A65212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34B55C7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2CA7FFE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44119BE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7297F73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4AF2E4B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33C6F0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07C75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1A52F3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109FA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2DCA9C1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0B099CFE" w14:textId="77777777" w:rsidTr="00E406A2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737B5929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5E187DE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CA37C4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56E4B7A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1F66F45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4BB9541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1FDB30E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36EFB2C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24AA8A9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D934D7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710D30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3B7CC83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3D1934C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04EE3131" w14:textId="77777777" w:rsidTr="00E406A2">
        <w:trPr>
          <w:trHeight w:val="33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0AD87DB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2E5A925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63ADFA4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2467B01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38DA451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2899065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11958EB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31913BD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2BB2029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671975D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6CB0BB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468DCF1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94F5EA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5630BEE5" w14:textId="77777777" w:rsidTr="00E406A2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40E1CB17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3139043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7363FAD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5D9BC94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3C8660B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0A39533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5439BBF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45EDF1C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5460B4A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1CFF83A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116B33E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8B202C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0213D1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58751BEF" w14:textId="77777777" w:rsidTr="00E406A2">
        <w:trPr>
          <w:trHeight w:val="351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27182B7D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65491B2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40A3583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557D41C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41504CE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40A3E25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6A2EC69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1F85AEC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68DED6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6DD9EA6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5C0244A9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5E1100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4D3DD73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115D1A0F" w14:textId="77777777" w:rsidTr="00E406A2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FBD955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lastRenderedPageBreak/>
              <w:t>Saldo ogółem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4715F0B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2FC0370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7C0B06B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4E0E77A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1C10DFDE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4E6902D7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2D9EDEF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42DCF3B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17F681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7FC9DAD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7DDCDCF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1D16DE5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2EABE50B" w14:textId="77777777" w:rsidTr="00E406A2">
        <w:trPr>
          <w:trHeight w:val="360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3BBD727D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6DDDF25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76A7A22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1805111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156D14C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14C3722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28FE59A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40C1D9D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7D00C1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336BA9A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4458AF28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944678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704553C7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6FB0DA1D" w14:textId="77777777" w:rsidTr="00E406A2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137E9244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79BE082D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0A4C9F83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38900D2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095468BC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06429B30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44483E5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228BF7B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6EAA9066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20729B5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67BEC71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1CE9108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342AF97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70A5D29B" w14:textId="77777777" w:rsidTr="00E406A2">
        <w:trPr>
          <w:trHeight w:val="357"/>
        </w:trPr>
        <w:tc>
          <w:tcPr>
            <w:tcW w:w="3133" w:type="dxa"/>
            <w:gridSpan w:val="3"/>
            <w:shd w:val="clear" w:color="auto" w:fill="FFFFFF"/>
            <w:vAlign w:val="center"/>
          </w:tcPr>
          <w:p w14:paraId="6EAC77DA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735" w:type="dxa"/>
            <w:gridSpan w:val="3"/>
            <w:shd w:val="clear" w:color="auto" w:fill="FFFFFF"/>
          </w:tcPr>
          <w:p w14:paraId="697EE6F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4" w:type="dxa"/>
            <w:gridSpan w:val="2"/>
            <w:shd w:val="clear" w:color="auto" w:fill="FFFFFF"/>
          </w:tcPr>
          <w:p w14:paraId="4470A7C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30" w:type="dxa"/>
            <w:gridSpan w:val="3"/>
            <w:shd w:val="clear" w:color="auto" w:fill="FFFFFF"/>
          </w:tcPr>
          <w:p w14:paraId="30E0EFF5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09" w:type="dxa"/>
            <w:gridSpan w:val="2"/>
            <w:shd w:val="clear" w:color="auto" w:fill="FFFFFF"/>
          </w:tcPr>
          <w:p w14:paraId="4062571B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25" w:type="dxa"/>
            <w:gridSpan w:val="2"/>
            <w:shd w:val="clear" w:color="auto" w:fill="FFFFFF"/>
          </w:tcPr>
          <w:p w14:paraId="17B47D2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15" w:type="dxa"/>
            <w:shd w:val="clear" w:color="auto" w:fill="FFFFFF"/>
          </w:tcPr>
          <w:p w14:paraId="0231180F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9" w:type="dxa"/>
            <w:gridSpan w:val="4"/>
            <w:shd w:val="clear" w:color="auto" w:fill="FFFFFF"/>
          </w:tcPr>
          <w:p w14:paraId="3074AC5A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0" w:type="dxa"/>
            <w:gridSpan w:val="2"/>
            <w:shd w:val="clear" w:color="auto" w:fill="FFFFFF"/>
          </w:tcPr>
          <w:p w14:paraId="0704B552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14" w:type="dxa"/>
            <w:gridSpan w:val="2"/>
            <w:shd w:val="clear" w:color="auto" w:fill="FFFFFF"/>
          </w:tcPr>
          <w:p w14:paraId="5AACACE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6" w:type="dxa"/>
            <w:gridSpan w:val="2"/>
            <w:shd w:val="clear" w:color="auto" w:fill="FFFFFF"/>
          </w:tcPr>
          <w:p w14:paraId="2D71266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8" w:type="dxa"/>
            <w:gridSpan w:val="2"/>
            <w:shd w:val="clear" w:color="auto" w:fill="FFFFFF"/>
          </w:tcPr>
          <w:p w14:paraId="68DA2DA1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09" w:type="dxa"/>
            <w:gridSpan w:val="2"/>
            <w:shd w:val="clear" w:color="auto" w:fill="FFFFFF"/>
          </w:tcPr>
          <w:p w14:paraId="151563E4" w14:textId="77777777" w:rsidR="00CD3A45" w:rsidRDefault="00CD3A45">
            <w:r w:rsidRPr="004729E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840863" w14:paraId="18A3CE91" w14:textId="77777777" w:rsidTr="00E74C16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248D67A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FCEB933" w14:textId="3E7EB762" w:rsidR="00E74C16" w:rsidRPr="00840863" w:rsidRDefault="002410A4" w:rsidP="002410A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8A5E94">
              <w:rPr>
                <w:rFonts w:ascii="Times New Roman" w:hAnsi="Times New Roman"/>
                <w:color w:val="000000"/>
                <w:sz w:val="21"/>
                <w:szCs w:val="21"/>
              </w:rPr>
              <w:t>Nie dotyczy</w:t>
            </w:r>
          </w:p>
        </w:tc>
      </w:tr>
      <w:tr w:rsidR="00E74C16" w:rsidRPr="00840863" w14:paraId="2130E60B" w14:textId="77777777" w:rsidTr="009624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1417"/>
        </w:trPr>
        <w:tc>
          <w:tcPr>
            <w:tcW w:w="22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F385FE0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tcBorders>
              <w:left w:val="single" w:sz="4" w:space="0" w:color="auto"/>
              <w:right w:val="single" w:sz="4" w:space="0" w:color="auto"/>
            </w:tcBorders>
          </w:tcPr>
          <w:p w14:paraId="10C2EDFE" w14:textId="0404C9D5" w:rsidR="00F54AC3" w:rsidRPr="00840863" w:rsidRDefault="00CD3A45" w:rsidP="00240F2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wyniku nowelizacji </w:t>
            </w:r>
            <w:r w:rsidR="00875FA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zwiększy się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zawartość programu ochrony, co wydłuży czas potrzebny na jego ocenę przez pracownika U</w:t>
            </w:r>
            <w:r w:rsidR="0083561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rzędu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</w:t>
            </w:r>
            <w:r w:rsidR="0083561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otnictwa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</w:t>
            </w:r>
            <w:r w:rsidR="00835613">
              <w:rPr>
                <w:rFonts w:ascii="Times New Roman" w:hAnsi="Times New Roman"/>
                <w:color w:val="000000"/>
                <w:sz w:val="21"/>
                <w:szCs w:val="21"/>
              </w:rPr>
              <w:t>ywilnego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, jednakże efekt ten będzie zrównoważony przez ułatwienia wynikające z rezygnacji z </w:t>
            </w:r>
            <w:r w:rsidR="00A7196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postaci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papierowej dokumentu (łatwiejsze procedowanie, przechowywanie i archiwizowanie dokumentu).</w:t>
            </w:r>
          </w:p>
        </w:tc>
      </w:tr>
      <w:tr w:rsidR="00E74C16" w:rsidRPr="00840863" w14:paraId="5586EA11" w14:textId="77777777" w:rsidTr="00E74C16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6BF5F36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120" w:after="120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840863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74C16" w:rsidRPr="00840863" w14:paraId="0FF4F91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33CE6492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74C16" w:rsidRPr="00840863" w14:paraId="6494052D" w14:textId="77777777" w:rsidTr="00E74C16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4404250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E0DFA59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294A22FE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1C2D2B17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0BDAC968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6D4929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729C9471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7BF79820" w14:textId="77777777" w:rsidR="00E74C16" w:rsidRPr="00840863" w:rsidRDefault="00E74C16" w:rsidP="00E74C16">
            <w:pPr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840863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840863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CD3A45" w:rsidRPr="00840863" w14:paraId="31EF9ECF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1D976B7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W ujęciu pieniężnym</w:t>
            </w:r>
          </w:p>
          <w:p w14:paraId="5501643B" w14:textId="77777777" w:rsidR="00CD3A45" w:rsidRPr="00840863" w:rsidRDefault="00CD3A45" w:rsidP="00E74C16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316EFC48" w14:textId="77777777" w:rsidR="00CD3A45" w:rsidRPr="00840863" w:rsidRDefault="00CD3A45" w:rsidP="00BE7DF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stałe z </w:t>
            </w:r>
            <w:r w:rsidR="00BE7DFF" w:rsidRPr="00840863">
              <w:rPr>
                <w:rFonts w:ascii="Times New Roman" w:hAnsi="Times New Roman"/>
                <w:spacing w:val="-2"/>
                <w:sz w:val="21"/>
                <w:szCs w:val="21"/>
              </w:rPr>
              <w:t>201</w:t>
            </w:r>
            <w:r w:rsidR="00BE7DFF">
              <w:rPr>
                <w:rFonts w:ascii="Times New Roman" w:hAnsi="Times New Roman"/>
                <w:spacing w:val="-2"/>
                <w:sz w:val="21"/>
                <w:szCs w:val="21"/>
              </w:rPr>
              <w:t>8</w:t>
            </w:r>
            <w:r w:rsidR="00BE7DFF" w:rsidRPr="00840863"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</w:t>
            </w:r>
            <w:r w:rsidRPr="00840863">
              <w:rPr>
                <w:rFonts w:ascii="Times New Roman" w:hAnsi="Times New Roman"/>
                <w:spacing w:val="-2"/>
                <w:sz w:val="21"/>
                <w:szCs w:val="21"/>
              </w:rPr>
              <w:t>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09D12FA0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91CBBF5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1E636DA3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771D291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14A7E20A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797598D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54532760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151A6DB6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63131F56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0AC2DCF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78664A64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0740E9A0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604F4603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C3DC558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8C89C28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531B868B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2055E6E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03049D4C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CD3A45" w:rsidRPr="00840863" w14:paraId="3385C994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FA5FEF5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E32F03E" w14:textId="77777777" w:rsidR="00CD3A45" w:rsidRPr="00840863" w:rsidRDefault="00CD3A45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13376274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4EC8AD25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03A73658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40DC6F89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3AFC2FE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2"/>
            <w:shd w:val="clear" w:color="auto" w:fill="FFFFFF"/>
          </w:tcPr>
          <w:p w14:paraId="68D87D83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422" w:type="dxa"/>
            <w:gridSpan w:val="2"/>
            <w:shd w:val="clear" w:color="auto" w:fill="FFFFFF"/>
          </w:tcPr>
          <w:p w14:paraId="5453F25D" w14:textId="77777777" w:rsidR="00CD3A45" w:rsidRDefault="00CD3A45">
            <w:r w:rsidRPr="00674A98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E74C16" w:rsidRPr="00840863" w14:paraId="55D7D370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E930CE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A62E776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1F568923" w14:textId="7AE65397" w:rsidR="00906155" w:rsidRPr="00840863" w:rsidRDefault="009A073C" w:rsidP="001B6377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Przedsiębiorstwa </w:t>
            </w:r>
            <w:r w:rsidR="00CD3A4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będą miały obowiązek opracowania i wprowadzenia do programu ochrony nowych treści dotyczących zagrożeń wewnętrznych i kultury ochrony</w:t>
            </w:r>
            <w:r w:rsidR="001B637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niektóre z nich również w zakresie cyberbezpieczeństwa,</w:t>
            </w:r>
            <w:r w:rsidR="00CD3A45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co wpłynie na poprawę poziomu ochrony lotnictwa cywilnego.</w:t>
            </w:r>
          </w:p>
        </w:tc>
      </w:tr>
      <w:tr w:rsidR="00E74C16" w:rsidRPr="00840863" w14:paraId="59A2BED0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3D753B7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6B3802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2F473400" w14:textId="34B965E9" w:rsidR="00E74C16" w:rsidRPr="00840863" w:rsidRDefault="00CD3A45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Przedsiębiorstwa będą miały obowiązek opracowania i wprowadzenia do programu ochrony nowych treści dotyczących zagrożeń wewnętrznych i kultury ochrony</w:t>
            </w:r>
            <w:r w:rsidR="001B6377" w:rsidRPr="001B637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niektóre z nich również w zakresie cyberbezpieczeństwa,</w:t>
            </w: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co wpłynie na poprawę poziomu ochrony lotnictwa cywilnego.</w:t>
            </w:r>
          </w:p>
        </w:tc>
      </w:tr>
      <w:tr w:rsidR="00E74C16" w:rsidRPr="00840863" w14:paraId="6D1DBC05" w14:textId="77777777" w:rsidTr="00E74C16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537F111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CBFB643" w14:textId="77777777" w:rsidR="00E74C16" w:rsidRPr="00840863" w:rsidRDefault="00E74C16" w:rsidP="00E74C16">
            <w:pPr>
              <w:tabs>
                <w:tab w:val="right" w:pos="1936"/>
              </w:tabs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sz w:val="21"/>
                <w:szCs w:val="21"/>
              </w:rPr>
              <w:t>rodzina, obywatele oraz gospodarstwa domowe</w:t>
            </w: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71BFFB6F" w14:textId="7021740F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Brak wpływu </w:t>
            </w:r>
            <w:r w:rsidR="00E419EF" w:rsidRPr="00E419EF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projektowanej regulacji </w:t>
            </w:r>
            <w:r w:rsidRPr="00840863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na tę grupę podmiotów.</w:t>
            </w:r>
          </w:p>
        </w:tc>
      </w:tr>
      <w:tr w:rsidR="00E74C16" w:rsidRPr="00840863" w14:paraId="514EA5E7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28C2FED5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5BB70453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172DC0E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840863" w14:paraId="12739282" w14:textId="77777777" w:rsidTr="00E74C16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513F610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077A9979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48" w:type="dxa"/>
            <w:gridSpan w:val="22"/>
            <w:shd w:val="clear" w:color="auto" w:fill="FFFFFF"/>
          </w:tcPr>
          <w:p w14:paraId="055E6C76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74C16" w:rsidRPr="00840863" w14:paraId="11AA2B05" w14:textId="77777777" w:rsidTr="00E74C16">
        <w:trPr>
          <w:gridAfter w:val="1"/>
          <w:wAfter w:w="10" w:type="dxa"/>
          <w:trHeight w:val="1643"/>
        </w:trPr>
        <w:tc>
          <w:tcPr>
            <w:tcW w:w="2243" w:type="dxa"/>
            <w:gridSpan w:val="2"/>
            <w:shd w:val="clear" w:color="auto" w:fill="FFFFFF"/>
          </w:tcPr>
          <w:p w14:paraId="76C83C12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84086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AB57D3D" w14:textId="3A55E502" w:rsidR="00E74C16" w:rsidRDefault="00CD3A45" w:rsidP="00F54AC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Przedsiębiorstwa będą miały obowiązek opracowania i wprowadzenia do programu ochrony nowych treści dotyczących zagrożeń wewnętrznych i kultury ochrony</w:t>
            </w:r>
            <w:r w:rsidR="001B6377" w:rsidRPr="001B6377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, a niektóre z nich również w zakresie cyberbezpieczeństwa</w:t>
            </w:r>
            <w:r w:rsidR="001932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. Koszty takich prac zostaną zrównoważone przez oszczędności wynikające z rezygnacji z </w:t>
            </w:r>
            <w:r w:rsidR="00A7196A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postaci </w:t>
            </w:r>
            <w:r w:rsidR="001932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papierow</w:t>
            </w:r>
            <w:r w:rsidR="00603E00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ej </w:t>
            </w:r>
            <w:r w:rsidR="0019324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programów ochrony.</w:t>
            </w:r>
          </w:p>
          <w:p w14:paraId="1F92935C" w14:textId="77777777" w:rsidR="00835613" w:rsidRDefault="00835613" w:rsidP="00F54AC3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  <w:p w14:paraId="552BF02F" w14:textId="77777777" w:rsidR="00835613" w:rsidRPr="00840863" w:rsidRDefault="008A268F" w:rsidP="00F54AC3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Brak wpływu projektowanej regulacji na </w:t>
            </w:r>
            <w:r w:rsidRPr="008A268F">
              <w:rPr>
                <w:rFonts w:ascii="Times New Roman" w:hAnsi="Times New Roman"/>
                <w:color w:val="000000"/>
                <w:sz w:val="21"/>
                <w:szCs w:val="21"/>
              </w:rPr>
              <w:t>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.</w:t>
            </w:r>
          </w:p>
        </w:tc>
      </w:tr>
      <w:tr w:rsidR="00E74C16" w:rsidRPr="00840863" w14:paraId="0589C05A" w14:textId="77777777" w:rsidTr="00E74C16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48412087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74C16" w:rsidRPr="00840863" w14:paraId="2E10430A" w14:textId="77777777" w:rsidTr="00E74C16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10A4DFFD" w14:textId="77777777" w:rsidR="00E74C16" w:rsidRDefault="00DA5C7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2031B59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6A5B8D9F" w14:textId="77777777" w:rsidTr="00E74C16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40E8A0A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840863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7685EEB" w14:textId="77777777" w:rsidR="00E74C16" w:rsidRPr="00840863" w:rsidRDefault="00906155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</w:rPr>
              <w:t>tak</w:t>
            </w:r>
          </w:p>
          <w:p w14:paraId="3A0E29F3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C6C1B2E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E74C16" w:rsidRPr="00840863" w14:paraId="55FF97DE" w14:textId="77777777" w:rsidTr="00E87D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tcBorders>
              <w:left w:val="single" w:sz="4" w:space="0" w:color="auto"/>
            </w:tcBorders>
          </w:tcPr>
          <w:p w14:paraId="55550BC4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 xml:space="preserve">zmniejszenie liczby dokumentów </w:t>
            </w:r>
          </w:p>
          <w:p w14:paraId="3AB13379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3B10778F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906155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skrócenie czasu na załatwienie sprawy</w:t>
            </w:r>
          </w:p>
          <w:p w14:paraId="01C7712F" w14:textId="77777777" w:rsidR="00E74C16" w:rsidRPr="00840863" w:rsidRDefault="00E74C16" w:rsidP="00E74C16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863">
              <w:rPr>
                <w:rFonts w:ascii="Times New Roman" w:hAnsi="Times New Roman"/>
                <w:color w:val="000000"/>
              </w:rPr>
            </w:r>
            <w:r w:rsidRPr="00840863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5826" w:type="dxa"/>
            <w:gridSpan w:val="17"/>
            <w:tcBorders>
              <w:right w:val="single" w:sz="4" w:space="0" w:color="auto"/>
            </w:tcBorders>
          </w:tcPr>
          <w:p w14:paraId="5B4DCF72" w14:textId="77777777" w:rsidR="00E74C16" w:rsidRPr="00840863" w:rsidRDefault="00906155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531C2B2C" w14:textId="77777777" w:rsidR="00E74C16" w:rsidRPr="00840863" w:rsidRDefault="00906155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7AB110E5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wydłużenie czasu na załatwienie sprawy</w:t>
            </w:r>
          </w:p>
          <w:p w14:paraId="75E2203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863">
              <w:rPr>
                <w:rFonts w:ascii="Times New Roman" w:hAnsi="Times New Roman"/>
                <w:color w:val="000000"/>
              </w:rPr>
            </w:r>
            <w:r w:rsidRPr="00840863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</w:p>
          <w:p w14:paraId="7EF9F38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3D48502A" w14:textId="77777777" w:rsidTr="00E74C16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4972112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Wprowadzane obciążenia są 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8095937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906155" w:rsidRPr="00840863">
              <w:rPr>
                <w:rFonts w:ascii="Times New Roman" w:hAnsi="Times New Roman"/>
                <w:color w:val="000000"/>
              </w:rPr>
              <w:t xml:space="preserve"> </w:t>
            </w:r>
            <w:r w:rsidR="00E74C16" w:rsidRPr="00840863">
              <w:rPr>
                <w:rFonts w:ascii="Times New Roman" w:hAnsi="Times New Roman"/>
                <w:color w:val="000000"/>
              </w:rPr>
              <w:t>tak</w:t>
            </w:r>
          </w:p>
          <w:p w14:paraId="59B06E77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08AC31D" w14:textId="77777777" w:rsidR="00E74C16" w:rsidRPr="00840863" w:rsidRDefault="00DA5C74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="00E74C16" w:rsidRPr="00840863">
              <w:rPr>
                <w:rFonts w:ascii="Times New Roman" w:hAnsi="Times New Roman"/>
                <w:color w:val="000000"/>
              </w:rPr>
              <w:t>nie dotyczy</w:t>
            </w:r>
          </w:p>
          <w:p w14:paraId="466C215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E74C16" w:rsidRPr="00840863" w14:paraId="7720AB5B" w14:textId="77777777" w:rsidTr="00E74C16">
        <w:trPr>
          <w:gridAfter w:val="1"/>
          <w:wAfter w:w="10" w:type="dxa"/>
          <w:trHeight w:val="630"/>
        </w:trPr>
        <w:tc>
          <w:tcPr>
            <w:tcW w:w="10937" w:type="dxa"/>
            <w:gridSpan w:val="29"/>
            <w:shd w:val="clear" w:color="auto" w:fill="FFFFFF"/>
          </w:tcPr>
          <w:p w14:paraId="1A382643" w14:textId="2D526BCA" w:rsidR="00E74C16" w:rsidRPr="00840863" w:rsidRDefault="00906155" w:rsidP="00E74C1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97E4D">
              <w:rPr>
                <w:rFonts w:ascii="Times New Roman" w:hAnsi="Times New Roman"/>
                <w:color w:val="000000"/>
              </w:rPr>
              <w:t xml:space="preserve">Komentarz: </w:t>
            </w: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E74C16" w:rsidRPr="00840863" w14:paraId="2556C50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B5ACC27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E74C16" w:rsidRPr="00840863" w14:paraId="39B1394F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</w:tcPr>
          <w:p w14:paraId="49902390" w14:textId="0E86376F" w:rsidR="00E74C16" w:rsidRPr="00840863" w:rsidRDefault="008A5E94" w:rsidP="00E74C16">
            <w:pPr>
              <w:rPr>
                <w:rFonts w:ascii="Times New Roman" w:hAnsi="Times New Roman"/>
                <w:color w:val="000000"/>
              </w:rPr>
            </w:pPr>
            <w:r w:rsidRPr="008A5E94">
              <w:rPr>
                <w:rFonts w:ascii="Times New Roman" w:hAnsi="Times New Roman"/>
                <w:color w:val="000000"/>
              </w:rPr>
              <w:t xml:space="preserve">Brak wpływu </w:t>
            </w:r>
            <w:r w:rsidR="00225E08">
              <w:rPr>
                <w:rFonts w:ascii="Times New Roman" w:hAnsi="Times New Roman"/>
                <w:color w:val="000000"/>
              </w:rPr>
              <w:t>projektowanej regulacji</w:t>
            </w:r>
            <w:r w:rsidRPr="008A5E94">
              <w:rPr>
                <w:rFonts w:ascii="Times New Roman" w:hAnsi="Times New Roman"/>
                <w:color w:val="000000"/>
              </w:rPr>
              <w:t xml:space="preserve"> na</w:t>
            </w:r>
            <w:r>
              <w:rPr>
                <w:rFonts w:ascii="Times New Roman" w:hAnsi="Times New Roman"/>
                <w:color w:val="000000"/>
              </w:rPr>
              <w:t xml:space="preserve"> rynek pracy.</w:t>
            </w:r>
            <w:r w:rsidRPr="008A5E94" w:rsidDel="008A5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74C16" w:rsidRPr="00840863" w14:paraId="456EC815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5EF0580D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E74C16" w:rsidRPr="00840863" w14:paraId="3FEC048E" w14:textId="77777777" w:rsidTr="00E74C16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45FEB3E8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5748A2C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89A4BF2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260429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840863">
              <w:rPr>
                <w:rFonts w:ascii="Times New Roman" w:hAnsi="Times New Roman"/>
                <w:color w:val="000000"/>
              </w:rPr>
            </w:r>
            <w:r w:rsidRPr="00840863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/>
                <w:noProof/>
                <w:color w:val="000000"/>
              </w:rPr>
              <w:t> </w:t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687" w:type="dxa"/>
            <w:gridSpan w:val="14"/>
            <w:shd w:val="clear" w:color="auto" w:fill="FFFFFF"/>
          </w:tcPr>
          <w:p w14:paraId="71E7F6E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6AF881A4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A925C8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03" w:type="dxa"/>
            <w:gridSpan w:val="10"/>
            <w:shd w:val="clear" w:color="auto" w:fill="FFFFFF"/>
          </w:tcPr>
          <w:p w14:paraId="3BF55D52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</w:p>
          <w:p w14:paraId="4F09F34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4BC782A6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0863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976BC">
              <w:rPr>
                <w:rFonts w:ascii="Times New Roman" w:hAnsi="Times New Roman"/>
                <w:color w:val="000000"/>
              </w:rPr>
            </w:r>
            <w:r w:rsidR="00C976BC">
              <w:rPr>
                <w:rFonts w:ascii="Times New Roman" w:hAnsi="Times New Roman"/>
                <w:color w:val="000000"/>
              </w:rPr>
              <w:fldChar w:fldCharType="separate"/>
            </w:r>
            <w:r w:rsidRPr="00840863">
              <w:rPr>
                <w:rFonts w:ascii="Times New Roman" w:hAnsi="Times New Roman"/>
                <w:color w:val="000000"/>
              </w:rPr>
              <w:fldChar w:fldCharType="end"/>
            </w:r>
            <w:r w:rsidRPr="0084086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E74C16" w:rsidRPr="00840863" w14:paraId="17BC43A4" w14:textId="77777777" w:rsidTr="00E74C16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C7784CA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</w:rPr>
            </w:pPr>
            <w:r w:rsidRPr="00840863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702E24FA" w14:textId="4E095CA3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Brak wpływu </w:t>
            </w:r>
            <w:r w:rsidR="00225E08">
              <w:rPr>
                <w:rFonts w:ascii="Times New Roman" w:hAnsi="Times New Roman"/>
                <w:color w:val="000000"/>
                <w:spacing w:val="-2"/>
              </w:rPr>
              <w:t>projektowanej regulacji</w:t>
            </w:r>
            <w:r w:rsidRPr="00840863">
              <w:rPr>
                <w:rFonts w:ascii="Times New Roman" w:hAnsi="Times New Roman"/>
                <w:color w:val="000000"/>
                <w:spacing w:val="-2"/>
              </w:rPr>
              <w:t xml:space="preserve"> na inne obszary.</w:t>
            </w:r>
          </w:p>
          <w:p w14:paraId="354D84BB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  <w:p w14:paraId="79E9C1C9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840863" w14:paraId="21DD9D8C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C7BBBBA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</w:rPr>
            </w:pPr>
            <w:r w:rsidRPr="0084086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74C16" w:rsidRPr="00840863" w14:paraId="07652041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4DF1C891" w14:textId="5534B18E" w:rsidR="00E74C16" w:rsidRDefault="00F31E69" w:rsidP="00E74C16">
            <w:pPr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Planuje się</w:t>
            </w:r>
            <w:r w:rsidR="00225E08">
              <w:rPr>
                <w:rFonts w:ascii="Times New Roman" w:hAnsi="Times New Roman"/>
                <w:spacing w:val="-2"/>
              </w:rPr>
              <w:t>, że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 w:rsidR="00225E08">
              <w:rPr>
                <w:rFonts w:ascii="Times New Roman" w:hAnsi="Times New Roman"/>
                <w:spacing w:val="-2"/>
              </w:rPr>
              <w:t>projektowane</w:t>
            </w:r>
            <w:r>
              <w:rPr>
                <w:rFonts w:ascii="Times New Roman" w:hAnsi="Times New Roman"/>
                <w:spacing w:val="-2"/>
              </w:rPr>
              <w:t xml:space="preserve"> rozporządzenie </w:t>
            </w:r>
            <w:r w:rsidR="00225E08">
              <w:rPr>
                <w:rFonts w:ascii="Times New Roman" w:hAnsi="Times New Roman"/>
                <w:spacing w:val="-2"/>
              </w:rPr>
              <w:t xml:space="preserve">wejdzie </w:t>
            </w:r>
            <w:r>
              <w:rPr>
                <w:rFonts w:ascii="Times New Roman" w:hAnsi="Times New Roman"/>
                <w:spacing w:val="-2"/>
              </w:rPr>
              <w:t>w życie po upływie 14 dni od dnia ogłoszenia.</w:t>
            </w:r>
          </w:p>
          <w:p w14:paraId="4FA8522B" w14:textId="77777777" w:rsidR="00E74C16" w:rsidRPr="00840863" w:rsidRDefault="00E74C16" w:rsidP="00E74C16">
            <w:pPr>
              <w:rPr>
                <w:rFonts w:ascii="Times New Roman" w:hAnsi="Times New Roman"/>
                <w:spacing w:val="-2"/>
              </w:rPr>
            </w:pPr>
          </w:p>
        </w:tc>
      </w:tr>
      <w:tr w:rsidR="00E74C16" w:rsidRPr="00840863" w14:paraId="1DB014C8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D930EEA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</w:rPr>
            </w:pPr>
            <w:r w:rsidRPr="0084086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84086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74C16" w:rsidRPr="00840863" w14:paraId="376D1DC6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719F41B" w14:textId="77777777" w:rsidR="00E74C16" w:rsidRDefault="00906155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  <w:p w14:paraId="09B6732C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E74C16" w:rsidRPr="00840863" w14:paraId="00AB9F0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701C1702" w14:textId="77777777" w:rsidR="00E74C16" w:rsidRPr="00840863" w:rsidRDefault="00E74C16" w:rsidP="00E74C16">
            <w:pPr>
              <w:numPr>
                <w:ilvl w:val="0"/>
                <w:numId w:val="2"/>
              </w:numPr>
              <w:spacing w:before="60" w:after="60"/>
              <w:ind w:left="318" w:hanging="284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840863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840863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74C16" w:rsidRPr="00840863" w14:paraId="7D6A3694" w14:textId="77777777" w:rsidTr="00E74C16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53001686" w14:textId="618C77A4" w:rsidR="00E74C16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  <w:r w:rsidRPr="00840863">
              <w:rPr>
                <w:rFonts w:ascii="Times New Roman" w:hAnsi="Times New Roman"/>
                <w:color w:val="000000"/>
                <w:spacing w:val="-2"/>
              </w:rPr>
              <w:t>Brak załączników</w:t>
            </w:r>
          </w:p>
          <w:p w14:paraId="456CE3C1" w14:textId="77777777" w:rsidR="00E74C16" w:rsidRPr="00840863" w:rsidRDefault="00E74C16" w:rsidP="00E74C16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6EBCD94D" w14:textId="77777777" w:rsidR="00E74C16" w:rsidRDefault="00E74C16"/>
    <w:sectPr w:rsidR="00E74C16" w:rsidSect="00E74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8E6BD" w14:textId="77777777" w:rsidR="00C976BC" w:rsidRDefault="00C976BC" w:rsidP="00170F60">
      <w:r>
        <w:separator/>
      </w:r>
    </w:p>
  </w:endnote>
  <w:endnote w:type="continuationSeparator" w:id="0">
    <w:p w14:paraId="4C524ECF" w14:textId="77777777" w:rsidR="00C976BC" w:rsidRDefault="00C976BC" w:rsidP="00170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27AAE" w14:textId="77777777" w:rsidR="00244CF0" w:rsidRDefault="00244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942DB" w14:textId="42573FA8" w:rsidR="00C6420E" w:rsidRDefault="00C6420E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60CB">
      <w:rPr>
        <w:noProof/>
      </w:rPr>
      <w:t>1</w:t>
    </w:r>
    <w:r>
      <w:fldChar w:fldCharType="end"/>
    </w:r>
  </w:p>
  <w:p w14:paraId="05D6899A" w14:textId="77777777" w:rsidR="00C6420E" w:rsidRDefault="00C6420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F7256" w14:textId="77777777" w:rsidR="00244CF0" w:rsidRDefault="00244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4330B6" w14:textId="77777777" w:rsidR="00C976BC" w:rsidRDefault="00C976BC" w:rsidP="00170F60">
      <w:r>
        <w:separator/>
      </w:r>
    </w:p>
  </w:footnote>
  <w:footnote w:type="continuationSeparator" w:id="0">
    <w:p w14:paraId="6D5BBE00" w14:textId="77777777" w:rsidR="00C976BC" w:rsidRDefault="00C976BC" w:rsidP="00170F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E3A31" w14:textId="77777777" w:rsidR="00244CF0" w:rsidRDefault="00244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A8C7" w14:textId="77777777" w:rsidR="00244CF0" w:rsidRDefault="00244CF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BB0C3" w14:textId="77777777" w:rsidR="00244CF0" w:rsidRDefault="00244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6748"/>
    <w:multiLevelType w:val="hybridMultilevel"/>
    <w:tmpl w:val="FB9E6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67063"/>
    <w:multiLevelType w:val="hybridMultilevel"/>
    <w:tmpl w:val="BA3031CC"/>
    <w:lvl w:ilvl="0" w:tplc="D458D5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BF36C1"/>
    <w:multiLevelType w:val="hybridMultilevel"/>
    <w:tmpl w:val="A704E246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F4D64"/>
    <w:multiLevelType w:val="hybridMultilevel"/>
    <w:tmpl w:val="6748C228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35AC2"/>
    <w:multiLevelType w:val="hybridMultilevel"/>
    <w:tmpl w:val="DEE8EEE4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8774D"/>
    <w:multiLevelType w:val="hybridMultilevel"/>
    <w:tmpl w:val="1F240BF8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634A8"/>
    <w:multiLevelType w:val="hybridMultilevel"/>
    <w:tmpl w:val="BA88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BD47AF"/>
    <w:multiLevelType w:val="hybridMultilevel"/>
    <w:tmpl w:val="A5681B42"/>
    <w:lvl w:ilvl="0" w:tplc="FB6CF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16"/>
    <w:rsid w:val="00004086"/>
    <w:rsid w:val="00004A71"/>
    <w:rsid w:val="00021488"/>
    <w:rsid w:val="00021E29"/>
    <w:rsid w:val="00022A65"/>
    <w:rsid w:val="00025EF8"/>
    <w:rsid w:val="0004016F"/>
    <w:rsid w:val="00044C47"/>
    <w:rsid w:val="00047265"/>
    <w:rsid w:val="000502CF"/>
    <w:rsid w:val="00057E2B"/>
    <w:rsid w:val="00060606"/>
    <w:rsid w:val="00066A02"/>
    <w:rsid w:val="00076456"/>
    <w:rsid w:val="000833DA"/>
    <w:rsid w:val="00085081"/>
    <w:rsid w:val="00085B9D"/>
    <w:rsid w:val="00086A35"/>
    <w:rsid w:val="00086EBB"/>
    <w:rsid w:val="00092D4B"/>
    <w:rsid w:val="00093CE3"/>
    <w:rsid w:val="000A092F"/>
    <w:rsid w:val="000B1BD6"/>
    <w:rsid w:val="000C0921"/>
    <w:rsid w:val="000C0DB2"/>
    <w:rsid w:val="000C4DB2"/>
    <w:rsid w:val="000D4937"/>
    <w:rsid w:val="0014658D"/>
    <w:rsid w:val="00150AEE"/>
    <w:rsid w:val="00170F60"/>
    <w:rsid w:val="001748CE"/>
    <w:rsid w:val="0017688F"/>
    <w:rsid w:val="00183C8C"/>
    <w:rsid w:val="00185EBD"/>
    <w:rsid w:val="00187D9F"/>
    <w:rsid w:val="0019324E"/>
    <w:rsid w:val="001A3EAF"/>
    <w:rsid w:val="001B6377"/>
    <w:rsid w:val="001C20FC"/>
    <w:rsid w:val="001C5219"/>
    <w:rsid w:val="001C6D0C"/>
    <w:rsid w:val="001D5ABB"/>
    <w:rsid w:val="001D61E8"/>
    <w:rsid w:val="001E60CB"/>
    <w:rsid w:val="001E7328"/>
    <w:rsid w:val="001F2B22"/>
    <w:rsid w:val="001F626D"/>
    <w:rsid w:val="002013E0"/>
    <w:rsid w:val="00202309"/>
    <w:rsid w:val="002148C3"/>
    <w:rsid w:val="0022108D"/>
    <w:rsid w:val="00224ECA"/>
    <w:rsid w:val="00225E08"/>
    <w:rsid w:val="00230DC5"/>
    <w:rsid w:val="00240F2F"/>
    <w:rsid w:val="002410A4"/>
    <w:rsid w:val="00241629"/>
    <w:rsid w:val="002418C6"/>
    <w:rsid w:val="002422EA"/>
    <w:rsid w:val="00243B00"/>
    <w:rsid w:val="00244CF0"/>
    <w:rsid w:val="0025226E"/>
    <w:rsid w:val="00252A64"/>
    <w:rsid w:val="002643C4"/>
    <w:rsid w:val="00266B50"/>
    <w:rsid w:val="00272498"/>
    <w:rsid w:val="00276AD0"/>
    <w:rsid w:val="002A5A00"/>
    <w:rsid w:val="002C45BB"/>
    <w:rsid w:val="002D4B8F"/>
    <w:rsid w:val="002D76D1"/>
    <w:rsid w:val="002F2F2A"/>
    <w:rsid w:val="00302387"/>
    <w:rsid w:val="00304C57"/>
    <w:rsid w:val="00310199"/>
    <w:rsid w:val="00315965"/>
    <w:rsid w:val="00315B47"/>
    <w:rsid w:val="00330EF3"/>
    <w:rsid w:val="003421CB"/>
    <w:rsid w:val="0034596E"/>
    <w:rsid w:val="0035026D"/>
    <w:rsid w:val="00355B7B"/>
    <w:rsid w:val="00380AB1"/>
    <w:rsid w:val="00383FAD"/>
    <w:rsid w:val="003903E2"/>
    <w:rsid w:val="003A0E8B"/>
    <w:rsid w:val="003B3F25"/>
    <w:rsid w:val="003B5D07"/>
    <w:rsid w:val="003C05F7"/>
    <w:rsid w:val="003C2BC3"/>
    <w:rsid w:val="003D5827"/>
    <w:rsid w:val="003D5E27"/>
    <w:rsid w:val="003E3289"/>
    <w:rsid w:val="003F3271"/>
    <w:rsid w:val="003F5E34"/>
    <w:rsid w:val="003F6234"/>
    <w:rsid w:val="003F7DAC"/>
    <w:rsid w:val="0041142F"/>
    <w:rsid w:val="00411A1D"/>
    <w:rsid w:val="00416038"/>
    <w:rsid w:val="00417DA1"/>
    <w:rsid w:val="004512DC"/>
    <w:rsid w:val="004517BE"/>
    <w:rsid w:val="00453221"/>
    <w:rsid w:val="00462966"/>
    <w:rsid w:val="00463EDE"/>
    <w:rsid w:val="00465C91"/>
    <w:rsid w:val="004721F6"/>
    <w:rsid w:val="00477F11"/>
    <w:rsid w:val="004808B6"/>
    <w:rsid w:val="00493BE1"/>
    <w:rsid w:val="00493C5A"/>
    <w:rsid w:val="00497BF3"/>
    <w:rsid w:val="004A3485"/>
    <w:rsid w:val="004A4B65"/>
    <w:rsid w:val="004B09E1"/>
    <w:rsid w:val="004B571A"/>
    <w:rsid w:val="004C4F25"/>
    <w:rsid w:val="004D033F"/>
    <w:rsid w:val="004D20DF"/>
    <w:rsid w:val="004D33F0"/>
    <w:rsid w:val="00517B32"/>
    <w:rsid w:val="00521973"/>
    <w:rsid w:val="00524437"/>
    <w:rsid w:val="00536CC5"/>
    <w:rsid w:val="005461E2"/>
    <w:rsid w:val="0054744C"/>
    <w:rsid w:val="0055752E"/>
    <w:rsid w:val="005620BB"/>
    <w:rsid w:val="00562C4A"/>
    <w:rsid w:val="005638B6"/>
    <w:rsid w:val="00565B43"/>
    <w:rsid w:val="005739B7"/>
    <w:rsid w:val="00581175"/>
    <w:rsid w:val="00592636"/>
    <w:rsid w:val="0059548E"/>
    <w:rsid w:val="00597E4D"/>
    <w:rsid w:val="005A03B8"/>
    <w:rsid w:val="005C1E70"/>
    <w:rsid w:val="005D5E29"/>
    <w:rsid w:val="005E48ED"/>
    <w:rsid w:val="005E67C3"/>
    <w:rsid w:val="005F3111"/>
    <w:rsid w:val="005F514C"/>
    <w:rsid w:val="005F5682"/>
    <w:rsid w:val="00600C04"/>
    <w:rsid w:val="00603E00"/>
    <w:rsid w:val="0061423B"/>
    <w:rsid w:val="00616DE8"/>
    <w:rsid w:val="00626090"/>
    <w:rsid w:val="006269EE"/>
    <w:rsid w:val="00632D8A"/>
    <w:rsid w:val="00646321"/>
    <w:rsid w:val="006467A9"/>
    <w:rsid w:val="0066543B"/>
    <w:rsid w:val="00665F25"/>
    <w:rsid w:val="00667FFA"/>
    <w:rsid w:val="00672C6B"/>
    <w:rsid w:val="0067491B"/>
    <w:rsid w:val="00674DAA"/>
    <w:rsid w:val="00687D3F"/>
    <w:rsid w:val="0069364D"/>
    <w:rsid w:val="00697DA7"/>
    <w:rsid w:val="006A3148"/>
    <w:rsid w:val="006A59F9"/>
    <w:rsid w:val="006A6F7D"/>
    <w:rsid w:val="006C1E85"/>
    <w:rsid w:val="006D4815"/>
    <w:rsid w:val="00704D4C"/>
    <w:rsid w:val="00707B7D"/>
    <w:rsid w:val="00713BD9"/>
    <w:rsid w:val="00716A03"/>
    <w:rsid w:val="00716CBB"/>
    <w:rsid w:val="0072675A"/>
    <w:rsid w:val="00745B4D"/>
    <w:rsid w:val="0074795D"/>
    <w:rsid w:val="0075675F"/>
    <w:rsid w:val="007825BD"/>
    <w:rsid w:val="00784FFA"/>
    <w:rsid w:val="00797C93"/>
    <w:rsid w:val="007C09C7"/>
    <w:rsid w:val="007D2DB6"/>
    <w:rsid w:val="007D5E1B"/>
    <w:rsid w:val="007F40F1"/>
    <w:rsid w:val="007F6E21"/>
    <w:rsid w:val="00803930"/>
    <w:rsid w:val="0080396D"/>
    <w:rsid w:val="0080427E"/>
    <w:rsid w:val="00806892"/>
    <w:rsid w:val="008071FA"/>
    <w:rsid w:val="00810489"/>
    <w:rsid w:val="008118A7"/>
    <w:rsid w:val="008309ED"/>
    <w:rsid w:val="00835613"/>
    <w:rsid w:val="008448C6"/>
    <w:rsid w:val="008468CF"/>
    <w:rsid w:val="00851C53"/>
    <w:rsid w:val="008756DA"/>
    <w:rsid w:val="00875FA9"/>
    <w:rsid w:val="00877E5A"/>
    <w:rsid w:val="00882390"/>
    <w:rsid w:val="008936A4"/>
    <w:rsid w:val="00893AB3"/>
    <w:rsid w:val="008A268F"/>
    <w:rsid w:val="008A2E2A"/>
    <w:rsid w:val="008A5E94"/>
    <w:rsid w:val="008B1C78"/>
    <w:rsid w:val="008B57C1"/>
    <w:rsid w:val="008C7AE0"/>
    <w:rsid w:val="008D0EE8"/>
    <w:rsid w:val="008D2D74"/>
    <w:rsid w:val="008E37CC"/>
    <w:rsid w:val="008E71B6"/>
    <w:rsid w:val="008F4DA4"/>
    <w:rsid w:val="00905E62"/>
    <w:rsid w:val="00906155"/>
    <w:rsid w:val="009067F4"/>
    <w:rsid w:val="00912822"/>
    <w:rsid w:val="0091660D"/>
    <w:rsid w:val="00920794"/>
    <w:rsid w:val="00943DCD"/>
    <w:rsid w:val="0095670F"/>
    <w:rsid w:val="009603A8"/>
    <w:rsid w:val="009606B0"/>
    <w:rsid w:val="0096243A"/>
    <w:rsid w:val="00965E87"/>
    <w:rsid w:val="00975950"/>
    <w:rsid w:val="00977AFC"/>
    <w:rsid w:val="00985903"/>
    <w:rsid w:val="009A073C"/>
    <w:rsid w:val="009A43CB"/>
    <w:rsid w:val="009B5B92"/>
    <w:rsid w:val="009D1BD1"/>
    <w:rsid w:val="009D55F1"/>
    <w:rsid w:val="009E367A"/>
    <w:rsid w:val="009E37A6"/>
    <w:rsid w:val="009E52E6"/>
    <w:rsid w:val="009E567F"/>
    <w:rsid w:val="009F7830"/>
    <w:rsid w:val="00A13418"/>
    <w:rsid w:val="00A171BD"/>
    <w:rsid w:val="00A32E7C"/>
    <w:rsid w:val="00A5496A"/>
    <w:rsid w:val="00A65CE9"/>
    <w:rsid w:val="00A6705E"/>
    <w:rsid w:val="00A7196A"/>
    <w:rsid w:val="00A82E80"/>
    <w:rsid w:val="00AB14CE"/>
    <w:rsid w:val="00AB3FF8"/>
    <w:rsid w:val="00AB62E1"/>
    <w:rsid w:val="00AD1910"/>
    <w:rsid w:val="00AD22B8"/>
    <w:rsid w:val="00AD3A2E"/>
    <w:rsid w:val="00B065F1"/>
    <w:rsid w:val="00B12927"/>
    <w:rsid w:val="00B1294B"/>
    <w:rsid w:val="00B13E5D"/>
    <w:rsid w:val="00B1403C"/>
    <w:rsid w:val="00B14C49"/>
    <w:rsid w:val="00B31CD2"/>
    <w:rsid w:val="00B40743"/>
    <w:rsid w:val="00B461C8"/>
    <w:rsid w:val="00B468A4"/>
    <w:rsid w:val="00B56840"/>
    <w:rsid w:val="00B61B77"/>
    <w:rsid w:val="00B65A42"/>
    <w:rsid w:val="00B676C6"/>
    <w:rsid w:val="00B73B4C"/>
    <w:rsid w:val="00B8164B"/>
    <w:rsid w:val="00B87764"/>
    <w:rsid w:val="00BA01CF"/>
    <w:rsid w:val="00BB4908"/>
    <w:rsid w:val="00BB7946"/>
    <w:rsid w:val="00BC4A3C"/>
    <w:rsid w:val="00BE7DFF"/>
    <w:rsid w:val="00BF44D3"/>
    <w:rsid w:val="00C00A0F"/>
    <w:rsid w:val="00C07841"/>
    <w:rsid w:val="00C079E0"/>
    <w:rsid w:val="00C107E7"/>
    <w:rsid w:val="00C13AF7"/>
    <w:rsid w:val="00C23CCC"/>
    <w:rsid w:val="00C47C01"/>
    <w:rsid w:val="00C555CE"/>
    <w:rsid w:val="00C6420E"/>
    <w:rsid w:val="00C76D6C"/>
    <w:rsid w:val="00C91469"/>
    <w:rsid w:val="00C922CB"/>
    <w:rsid w:val="00C976BC"/>
    <w:rsid w:val="00CB2204"/>
    <w:rsid w:val="00CD3A45"/>
    <w:rsid w:val="00CD65BA"/>
    <w:rsid w:val="00CD7272"/>
    <w:rsid w:val="00CF6412"/>
    <w:rsid w:val="00D00E18"/>
    <w:rsid w:val="00D02431"/>
    <w:rsid w:val="00D02C33"/>
    <w:rsid w:val="00D049CA"/>
    <w:rsid w:val="00D1041D"/>
    <w:rsid w:val="00D1607C"/>
    <w:rsid w:val="00D33563"/>
    <w:rsid w:val="00D343FB"/>
    <w:rsid w:val="00D37CFC"/>
    <w:rsid w:val="00D4509E"/>
    <w:rsid w:val="00D6188D"/>
    <w:rsid w:val="00D669E4"/>
    <w:rsid w:val="00D769FF"/>
    <w:rsid w:val="00D8681B"/>
    <w:rsid w:val="00DA2D08"/>
    <w:rsid w:val="00DA572E"/>
    <w:rsid w:val="00DA5C74"/>
    <w:rsid w:val="00DB7DFB"/>
    <w:rsid w:val="00DC6A72"/>
    <w:rsid w:val="00DD302A"/>
    <w:rsid w:val="00DD30FB"/>
    <w:rsid w:val="00DE2A92"/>
    <w:rsid w:val="00DF3F74"/>
    <w:rsid w:val="00DF59C1"/>
    <w:rsid w:val="00E035E8"/>
    <w:rsid w:val="00E05371"/>
    <w:rsid w:val="00E402C1"/>
    <w:rsid w:val="00E406A2"/>
    <w:rsid w:val="00E419EF"/>
    <w:rsid w:val="00E42AF8"/>
    <w:rsid w:val="00E42F65"/>
    <w:rsid w:val="00E44DDB"/>
    <w:rsid w:val="00E6654B"/>
    <w:rsid w:val="00E72085"/>
    <w:rsid w:val="00E7411E"/>
    <w:rsid w:val="00E74C16"/>
    <w:rsid w:val="00E8346F"/>
    <w:rsid w:val="00E85287"/>
    <w:rsid w:val="00E87BE4"/>
    <w:rsid w:val="00E87D49"/>
    <w:rsid w:val="00E953A6"/>
    <w:rsid w:val="00EA0B55"/>
    <w:rsid w:val="00EA39A1"/>
    <w:rsid w:val="00EB44AC"/>
    <w:rsid w:val="00EB45AC"/>
    <w:rsid w:val="00EC0066"/>
    <w:rsid w:val="00EC39FD"/>
    <w:rsid w:val="00EC7302"/>
    <w:rsid w:val="00ED6B40"/>
    <w:rsid w:val="00EE69FE"/>
    <w:rsid w:val="00EE752E"/>
    <w:rsid w:val="00EE7FC5"/>
    <w:rsid w:val="00EF0391"/>
    <w:rsid w:val="00F06E89"/>
    <w:rsid w:val="00F103CF"/>
    <w:rsid w:val="00F251E6"/>
    <w:rsid w:val="00F27A87"/>
    <w:rsid w:val="00F31A1F"/>
    <w:rsid w:val="00F31E69"/>
    <w:rsid w:val="00F332A2"/>
    <w:rsid w:val="00F410C6"/>
    <w:rsid w:val="00F432BE"/>
    <w:rsid w:val="00F5467A"/>
    <w:rsid w:val="00F54AC3"/>
    <w:rsid w:val="00F60711"/>
    <w:rsid w:val="00F66221"/>
    <w:rsid w:val="00F70CE8"/>
    <w:rsid w:val="00F7792F"/>
    <w:rsid w:val="00F91C8E"/>
    <w:rsid w:val="00F939BE"/>
    <w:rsid w:val="00FA5F51"/>
    <w:rsid w:val="00FA67BD"/>
    <w:rsid w:val="00FB7ED3"/>
    <w:rsid w:val="00FC1551"/>
    <w:rsid w:val="00FC4785"/>
    <w:rsid w:val="00FD4560"/>
    <w:rsid w:val="00FE5A59"/>
    <w:rsid w:val="00FF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4D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B13E5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13E5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9E52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2E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E52E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E52E6"/>
    <w:rPr>
      <w:b/>
      <w:bCs/>
    </w:rPr>
  </w:style>
  <w:style w:type="character" w:customStyle="1" w:styleId="TematkomentarzaZnak">
    <w:name w:val="Temat komentarza Znak"/>
    <w:link w:val="Tematkomentarza"/>
    <w:rsid w:val="009E52E6"/>
    <w:rPr>
      <w:rFonts w:ascii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61E2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61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546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B7D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nhideWhenUsed/>
    <w:rsid w:val="00244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CF0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C16"/>
    <w:pPr>
      <w:jc w:val="both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74C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locked/>
    <w:rsid w:val="00E74C16"/>
    <w:rPr>
      <w:rFonts w:ascii="Calibri" w:hAnsi="Calibri"/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rsid w:val="00B13E5D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B13E5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rsid w:val="009E52E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52E6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rsid w:val="009E52E6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E52E6"/>
    <w:rPr>
      <w:b/>
      <w:bCs/>
    </w:rPr>
  </w:style>
  <w:style w:type="character" w:customStyle="1" w:styleId="TematkomentarzaZnak">
    <w:name w:val="Temat komentarza Znak"/>
    <w:link w:val="Tematkomentarza"/>
    <w:rsid w:val="009E52E6"/>
    <w:rPr>
      <w:rFonts w:ascii="Calibri" w:hAnsi="Calibri"/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461E2"/>
    <w:pPr>
      <w:jc w:val="left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5461E2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5461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7B7D"/>
    <w:pPr>
      <w:spacing w:after="200" w:line="276" w:lineRule="auto"/>
      <w:ind w:left="720"/>
      <w:contextualSpacing/>
      <w:jc w:val="left"/>
    </w:pPr>
  </w:style>
  <w:style w:type="paragraph" w:styleId="Nagwek">
    <w:name w:val="header"/>
    <w:basedOn w:val="Normalny"/>
    <w:link w:val="NagwekZnak"/>
    <w:unhideWhenUsed/>
    <w:rsid w:val="00244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4CF0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AB9AA-8A26-42FA-9DC0-E1E6CD27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2449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2020-09-03T07:01:00Z</dcterms:created>
  <dcterms:modified xsi:type="dcterms:W3CDTF">2020-09-03T07:01:00Z</dcterms:modified>
</cp:coreProperties>
</file>