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2B" w:rsidRPr="00057919" w:rsidRDefault="003A232B" w:rsidP="003A232B">
      <w:pPr>
        <w:widowControl/>
        <w:spacing w:after="200"/>
        <w:rPr>
          <w:rFonts w:cs="Times New Roman"/>
          <w:szCs w:val="24"/>
        </w:rPr>
      </w:pPr>
      <w:bookmarkStart w:id="0" w:name="_GoBack"/>
      <w:bookmarkEnd w:id="0"/>
    </w:p>
    <w:p w:rsidR="003A232B" w:rsidRPr="00057919" w:rsidRDefault="003A232B" w:rsidP="003A232B">
      <w:pPr>
        <w:widowControl/>
        <w:spacing w:after="240"/>
        <w:jc w:val="center"/>
        <w:rPr>
          <w:rFonts w:cs="Times New Roman"/>
          <w:b/>
          <w:szCs w:val="24"/>
        </w:rPr>
      </w:pPr>
      <w:r w:rsidRPr="00057919">
        <w:rPr>
          <w:rFonts w:cs="Times New Roman"/>
          <w:b/>
          <w:szCs w:val="24"/>
        </w:rPr>
        <w:t>Ocena skutków regulacji (OSR)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471"/>
        <w:gridCol w:w="680"/>
        <w:gridCol w:w="420"/>
        <w:gridCol w:w="311"/>
        <w:gridCol w:w="100"/>
        <w:gridCol w:w="432"/>
        <w:gridCol w:w="118"/>
        <w:gridCol w:w="67"/>
        <w:gridCol w:w="221"/>
        <w:gridCol w:w="375"/>
        <w:gridCol w:w="45"/>
        <w:gridCol w:w="435"/>
        <w:gridCol w:w="45"/>
        <w:gridCol w:w="60"/>
        <w:gridCol w:w="68"/>
        <w:gridCol w:w="234"/>
        <w:gridCol w:w="429"/>
        <w:gridCol w:w="257"/>
        <w:gridCol w:w="164"/>
        <w:gridCol w:w="254"/>
        <w:gridCol w:w="170"/>
        <w:gridCol w:w="435"/>
        <w:gridCol w:w="66"/>
        <w:gridCol w:w="322"/>
        <w:gridCol w:w="2038"/>
      </w:tblGrid>
      <w:tr w:rsidR="003A232B" w:rsidRPr="007C07B7" w:rsidTr="000E387A">
        <w:trPr>
          <w:trHeight w:val="1611"/>
        </w:trPr>
        <w:tc>
          <w:tcPr>
            <w:tcW w:w="26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spacing w:before="120"/>
              <w:rPr>
                <w:rFonts w:cs="Times New Roman"/>
                <w:szCs w:val="24"/>
              </w:rPr>
            </w:pPr>
            <w:bookmarkStart w:id="1" w:name="t1"/>
            <w:r w:rsidRPr="00057919">
              <w:rPr>
                <w:rFonts w:cs="Times New Roman"/>
                <w:b/>
                <w:szCs w:val="24"/>
              </w:rPr>
              <w:t>Nazwa projektu</w:t>
            </w:r>
          </w:p>
          <w:p w:rsidR="003A232B" w:rsidRPr="00057919" w:rsidRDefault="003A232B" w:rsidP="000E387A">
            <w:pPr>
              <w:spacing w:after="120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Projekt rozporządzenia Ministra Infrastruktury i Budownictwa w sprawie wymagań technicznych i eksploatacyjnych dla lotnisk użytku publicznego, dla których została wydana decyzja o ograniczonej certyfikacji</w:t>
            </w:r>
          </w:p>
          <w:p w:rsidR="003A232B" w:rsidRPr="00057919" w:rsidRDefault="003A232B" w:rsidP="000E387A">
            <w:pPr>
              <w:spacing w:before="120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Ministerstwo wiodące i ministerstwa współpracujące</w:t>
            </w:r>
            <w:bookmarkEnd w:id="1"/>
          </w:p>
          <w:p w:rsidR="003A232B" w:rsidRPr="00057919" w:rsidRDefault="003A232B" w:rsidP="000E387A">
            <w:pPr>
              <w:spacing w:after="120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szCs w:val="24"/>
              </w:rPr>
              <w:t>Ministerstwo Infrastruktury i Budownictwa</w:t>
            </w:r>
          </w:p>
          <w:p w:rsidR="003A232B" w:rsidRDefault="003A232B" w:rsidP="000E387A">
            <w:pPr>
              <w:spacing w:before="120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Osoba odpowiedzialna za projekt w randze Ministra, Sekretarza Stanu lub Podsekretarza Stanu</w:t>
            </w:r>
          </w:p>
          <w:p w:rsidR="003A232B" w:rsidRPr="00BC6B2F" w:rsidRDefault="003A232B" w:rsidP="000E387A">
            <w:pPr>
              <w:spacing w:before="120"/>
              <w:rPr>
                <w:rFonts w:cs="Times New Roman"/>
                <w:szCs w:val="24"/>
              </w:rPr>
            </w:pPr>
            <w:r w:rsidRPr="00BC6B2F">
              <w:rPr>
                <w:rFonts w:cs="Times New Roman"/>
                <w:szCs w:val="24"/>
              </w:rPr>
              <w:t>Marek Chodkiewicz, Podsekretarz Stanu</w:t>
            </w:r>
          </w:p>
          <w:p w:rsidR="003A232B" w:rsidRPr="00057919" w:rsidRDefault="003A232B" w:rsidP="000E387A">
            <w:pPr>
              <w:spacing w:before="120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Kontakt do opiekuna merytorycznego projektu</w:t>
            </w:r>
          </w:p>
          <w:p w:rsidR="003A232B" w:rsidRDefault="00C4761E" w:rsidP="000E387A">
            <w:pPr>
              <w:spacing w:after="120"/>
              <w:rPr>
                <w:rFonts w:cs="Times New Roman"/>
                <w:szCs w:val="24"/>
              </w:rPr>
            </w:pPr>
            <w:hyperlink r:id="rId8" w:history="1"/>
            <w:r w:rsidR="003A232B" w:rsidRPr="00D525A0">
              <w:rPr>
                <w:rFonts w:cs="Times New Roman"/>
                <w:szCs w:val="24"/>
              </w:rPr>
              <w:t>Anita Grabowska-</w:t>
            </w:r>
            <w:proofErr w:type="spellStart"/>
            <w:r w:rsidR="003A232B" w:rsidRPr="00D525A0">
              <w:rPr>
                <w:rFonts w:cs="Times New Roman"/>
                <w:szCs w:val="24"/>
              </w:rPr>
              <w:t>Wlaź</w:t>
            </w:r>
            <w:proofErr w:type="spellEnd"/>
            <w:r w:rsidR="003A232B" w:rsidRPr="00D525A0">
              <w:rPr>
                <w:rFonts w:cs="Times New Roman"/>
                <w:szCs w:val="24"/>
              </w:rPr>
              <w:t xml:space="preserve">, Radca Ministra, Departament Lotnictwa (tel. </w:t>
            </w:r>
            <w:r w:rsidR="003A232B">
              <w:rPr>
                <w:rFonts w:cs="Times New Roman"/>
                <w:szCs w:val="24"/>
              </w:rPr>
              <w:t xml:space="preserve">22 </w:t>
            </w:r>
            <w:r w:rsidR="003A232B" w:rsidRPr="00D525A0">
              <w:rPr>
                <w:rFonts w:cs="Times New Roman"/>
                <w:szCs w:val="24"/>
              </w:rPr>
              <w:t xml:space="preserve">6301322, e-mail:  </w:t>
            </w:r>
            <w:hyperlink r:id="rId9" w:history="1">
              <w:r w:rsidR="003A232B" w:rsidRPr="00D525A0">
                <w:rPr>
                  <w:rStyle w:val="Hipercze"/>
                </w:rPr>
                <w:t>anita.grabowska-wlaz@mib.gov.pl</w:t>
              </w:r>
            </w:hyperlink>
            <w:r w:rsidR="003A232B" w:rsidRPr="00D525A0">
              <w:rPr>
                <w:rFonts w:cs="Times New Roman"/>
                <w:szCs w:val="24"/>
              </w:rPr>
              <w:t>)</w:t>
            </w:r>
          </w:p>
          <w:p w:rsidR="003A232B" w:rsidRPr="0018068A" w:rsidRDefault="003A232B" w:rsidP="000E387A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Michał Stokowski, </w:t>
            </w:r>
            <w:r w:rsidRPr="0018068A">
              <w:rPr>
                <w:rFonts w:cs="Times New Roman"/>
                <w:szCs w:val="24"/>
              </w:rPr>
              <w:t>główny specjalista, Departament Prawno-Legislacyjny</w:t>
            </w:r>
            <w:r>
              <w:rPr>
                <w:rFonts w:cs="Times New Roman"/>
                <w:szCs w:val="24"/>
              </w:rPr>
              <w:t xml:space="preserve"> ULC, (tel. 22 5207502,</w:t>
            </w:r>
            <w:r w:rsidRPr="0018068A">
              <w:rPr>
                <w:rFonts w:cs="Times New Roman"/>
                <w:szCs w:val="24"/>
              </w:rPr>
              <w:t xml:space="preserve">email: </w:t>
            </w:r>
            <w:hyperlink r:id="rId10" w:history="1">
              <w:r w:rsidRPr="00732885">
                <w:rPr>
                  <w:rStyle w:val="Hipercze"/>
                  <w:rFonts w:cs="Times New Roman"/>
                  <w:szCs w:val="24"/>
                </w:rPr>
                <w:t>mstokowski@ulc.gov.pl</w:t>
              </w:r>
            </w:hyperlink>
            <w:r>
              <w:rPr>
                <w:rFonts w:cs="Times New Roman"/>
                <w:szCs w:val="24"/>
              </w:rPr>
              <w:t xml:space="preserve"> )</w:t>
            </w:r>
          </w:p>
        </w:tc>
        <w:tc>
          <w:tcPr>
            <w:tcW w:w="23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Data opracowania</w:t>
            </w:r>
            <w:r w:rsidRPr="00057919">
              <w:rPr>
                <w:rFonts w:cs="Times New Roman"/>
                <w:b/>
                <w:szCs w:val="24"/>
              </w:rPr>
              <w:br/>
            </w:r>
            <w:r>
              <w:rPr>
                <w:rFonts w:cs="Times New Roman"/>
                <w:szCs w:val="24"/>
              </w:rPr>
              <w:t>02</w:t>
            </w:r>
            <w:r w:rsidRPr="00057919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10</w:t>
            </w:r>
            <w:r w:rsidRPr="00057919">
              <w:rPr>
                <w:rFonts w:cs="Times New Roman"/>
                <w:szCs w:val="24"/>
              </w:rPr>
              <w:t>.2017</w:t>
            </w:r>
          </w:p>
          <w:p w:rsidR="003A232B" w:rsidRPr="00057919" w:rsidRDefault="003A232B" w:rsidP="000E387A">
            <w:pPr>
              <w:rPr>
                <w:rFonts w:cs="Times New Roman"/>
                <w:b/>
                <w:szCs w:val="24"/>
              </w:rPr>
            </w:pPr>
          </w:p>
          <w:p w:rsidR="003A232B" w:rsidRPr="00057919" w:rsidRDefault="003A232B" w:rsidP="000E387A">
            <w:pPr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 xml:space="preserve">Źródło: </w:t>
            </w:r>
            <w:bookmarkStart w:id="2" w:name="Lista1"/>
            <w:bookmarkEnd w:id="2"/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art. 59a ust. 6 ustawy z dnia 3 lipca 2002 r. – Prawo lotnicze (</w:t>
            </w:r>
            <w:r w:rsidRPr="00057919">
              <w:t>Dz. U. z 2017 r. poz. 959 i 1089</w:t>
            </w:r>
            <w:r w:rsidRPr="00057919">
              <w:rPr>
                <w:rFonts w:cs="Times New Roman"/>
                <w:szCs w:val="24"/>
              </w:rPr>
              <w:t>)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  <w:p w:rsidR="003A232B" w:rsidRPr="00057919" w:rsidRDefault="003A232B" w:rsidP="000E387A">
            <w:pPr>
              <w:spacing w:before="120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 xml:space="preserve">Nr w wykazie prac legislacyjnych </w:t>
            </w:r>
            <w:proofErr w:type="spellStart"/>
            <w:r w:rsidRPr="00057919">
              <w:rPr>
                <w:rFonts w:cs="Times New Roman"/>
                <w:b/>
                <w:szCs w:val="24"/>
              </w:rPr>
              <w:t>MIiB</w:t>
            </w:r>
            <w:proofErr w:type="spellEnd"/>
          </w:p>
          <w:p w:rsidR="003A232B" w:rsidRPr="00057919" w:rsidRDefault="003A232B" w:rsidP="000E387A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poz. 100</w:t>
            </w:r>
          </w:p>
        </w:tc>
      </w:tr>
      <w:tr w:rsidR="003A232B" w:rsidRPr="00057919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ind w:left="57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OCENA SKUTKÓW REGULACJI</w:t>
            </w:r>
          </w:p>
        </w:tc>
      </w:tr>
      <w:tr w:rsidR="003A232B" w:rsidRPr="00057919" w:rsidTr="000E387A">
        <w:trPr>
          <w:trHeight w:val="33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120" w:after="120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Brak wdrożenia do krajowego systemu prawnego nowych wymagań międzynarodowych dla lotnisk, wprowadzonych przez Radę ICAO do Załącznika 14 do Konwencji Chicagowskiej po 2013 r., tj.: zmiany:11A, 11B, 12 oraz 13A do Tomu I oraz zmiany 5, 6 i 7 do Tomu II.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uppressAutoHyphens w:val="0"/>
              <w:autoSpaceDE/>
              <w:autoSpaceDN/>
              <w:spacing w:before="60" w:after="60" w:line="240" w:lineRule="auto"/>
              <w:ind w:left="460" w:hanging="426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120" w:after="120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Uchylenie dotychczas obowiązującego </w:t>
            </w:r>
            <w:r w:rsidRPr="00057919">
              <w:rPr>
                <w:rFonts w:cs="Times New Roman"/>
                <w:i/>
                <w:szCs w:val="24"/>
              </w:rPr>
              <w:t xml:space="preserve">rozporządzenia Ministra Transportu, Budownictwa i Gospodarki Morskiej z dnia 18 czerwca 2013 r. w sprawie wymagań technicznych i </w:t>
            </w:r>
            <w:r w:rsidRPr="00057919">
              <w:rPr>
                <w:rFonts w:cs="Times New Roman"/>
                <w:i/>
                <w:szCs w:val="24"/>
              </w:rPr>
              <w:lastRenderedPageBreak/>
              <w:t xml:space="preserve">eksploatacyjnych w stosunku do lotnisk użytku publicznego, dla których została wydana decyzja o ograniczonej certyfikacji </w:t>
            </w:r>
            <w:r w:rsidRPr="00057919">
              <w:rPr>
                <w:rFonts w:cs="Times New Roman"/>
                <w:szCs w:val="24"/>
              </w:rPr>
              <w:t xml:space="preserve">wydanego na podstawie art. 59a ust. 6 ustawy - Prawo lotnicze oraz wydanie nowego </w:t>
            </w:r>
            <w:r w:rsidRPr="00057919">
              <w:rPr>
                <w:rFonts w:cs="Times New Roman"/>
                <w:i/>
                <w:szCs w:val="24"/>
              </w:rPr>
              <w:t>rozporządzenia Ministra Infrastruktury i Budownictwa w sprawie wymagań technicznych i eksploatacyjnych dla lotnisk użytku publicznego, dla których została wydana decyzja o ograniczonej certyfikacji.</w:t>
            </w:r>
          </w:p>
        </w:tc>
      </w:tr>
      <w:tr w:rsidR="003A232B" w:rsidRPr="00E574C6" w:rsidTr="000E387A">
        <w:trPr>
          <w:trHeight w:val="307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pacing w:val="-2"/>
                <w:szCs w:val="24"/>
              </w:rPr>
              <w:lastRenderedPageBreak/>
              <w:t>Jak problem został rozwiązany w innych krajach, w szczególności krajach członkowskich OECD/UE</w:t>
            </w:r>
            <w:r w:rsidRPr="00057919">
              <w:rPr>
                <w:rFonts w:cs="Times New Roman"/>
                <w:b/>
                <w:szCs w:val="24"/>
              </w:rPr>
              <w:t>?</w:t>
            </w:r>
            <w:r w:rsidRPr="00057919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pStyle w:val="Default"/>
              <w:widowControl w:val="0"/>
              <w:spacing w:before="120" w:after="120" w:line="288" w:lineRule="auto"/>
              <w:jc w:val="both"/>
              <w:rPr>
                <w:color w:val="auto"/>
                <w:sz w:val="22"/>
              </w:rPr>
            </w:pPr>
            <w:r w:rsidRPr="00057919">
              <w:rPr>
                <w:color w:val="auto"/>
                <w:sz w:val="22"/>
              </w:rPr>
              <w:t xml:space="preserve">Zgodnie z art. 37 Konwencji Chicagowskiej wszystkie Państwa należące do ICAO (188) są zobowiązane do wdrożenia, w możliwie największym zakresie, norm i zalecanych metod postępowania zawartych w Załącznikach do Konwencji Chicagowskiej oraz wprowadzanych przez ICAO zmianach. Sposób wdrożenia w poszczególnych krajach różni się ze względu na różne systemy i kulturę prawną. Niemniej jednak wszystkie kraje wdrożyły większość norm i zaleceń Załącznika 14 do Konwencji chicagowskiej i powiadomiły ICAO o istniejących różnicach, zgodnie z obowiązkiem wynikającym z art. 38 Konwencji chicagowskiej. </w:t>
            </w:r>
          </w:p>
        </w:tc>
      </w:tr>
      <w:tr w:rsidR="003A232B" w:rsidRPr="00E574C6" w:rsidTr="000E387A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Podmioty, na które oddziałuje projekt</w:t>
            </w:r>
          </w:p>
        </w:tc>
      </w:tr>
      <w:tr w:rsidR="003A232B" w:rsidRPr="00057919" w:rsidTr="000E387A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Grupa</w:t>
            </w:r>
          </w:p>
        </w:tc>
        <w:tc>
          <w:tcPr>
            <w:tcW w:w="1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Wielkość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Źródło danych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Oddziaływanie</w:t>
            </w:r>
          </w:p>
        </w:tc>
      </w:tr>
      <w:tr w:rsidR="003A232B" w:rsidRPr="00057919" w:rsidTr="000E387A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left" w:pos="1560"/>
              </w:tabs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Prezes Urzędu Lotnictwa Cywilnego</w:t>
            </w:r>
          </w:p>
        </w:tc>
        <w:tc>
          <w:tcPr>
            <w:tcW w:w="1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1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Dane własne Urzędu Lotnictwa Cywilnego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Bez zmian</w:t>
            </w:r>
          </w:p>
        </w:tc>
      </w:tr>
      <w:tr w:rsidR="003A232B" w:rsidRPr="00E574C6" w:rsidTr="000E387A">
        <w:trPr>
          <w:trHeight w:val="142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Lotniska certyfikowane użytku publicznego 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o ograniczonej certyfikacji (zarządzający lotniskami)</w:t>
            </w:r>
          </w:p>
        </w:tc>
        <w:tc>
          <w:tcPr>
            <w:tcW w:w="1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 xml:space="preserve">4 lotniska użytku publicznego o ograniczonej certyfikacji (Radom, Mielec, Kaniów, Białystok </w:t>
            </w:r>
            <w:proofErr w:type="spellStart"/>
            <w:r w:rsidRPr="00057919">
              <w:rPr>
                <w:rFonts w:cs="Times New Roman"/>
                <w:spacing w:val="-2"/>
                <w:szCs w:val="24"/>
              </w:rPr>
              <w:t>Krywlany</w:t>
            </w:r>
            <w:proofErr w:type="spellEnd"/>
            <w:r w:rsidRPr="00057919">
              <w:rPr>
                <w:rFonts w:cs="Times New Roman"/>
                <w:spacing w:val="-2"/>
                <w:szCs w:val="24"/>
              </w:rPr>
              <w:t>)</w:t>
            </w:r>
          </w:p>
        </w:tc>
        <w:tc>
          <w:tcPr>
            <w:tcW w:w="12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Rejestr lotnisk cywilnych i rejestr wydanych certyfikatów przez Prezesa Urzędu Lotnictwa Cywilnego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Konieczność dostosowania lotnisk do nowych wymagań technicznych i eksploatacyjnych</w:t>
            </w:r>
          </w:p>
        </w:tc>
      </w:tr>
      <w:tr w:rsidR="003A232B" w:rsidRPr="00E574C6" w:rsidTr="000E387A">
        <w:trPr>
          <w:trHeight w:val="30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Informacje na temat zakresu, czasu trwania i podsumowanie wyników konsultacji</w:t>
            </w:r>
          </w:p>
        </w:tc>
      </w:tr>
      <w:tr w:rsidR="003A232B" w:rsidRPr="00E574C6" w:rsidTr="000E387A">
        <w:trPr>
          <w:trHeight w:val="3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spacing w:before="120" w:after="120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Projekt rozporządzenia </w:t>
            </w:r>
            <w:r>
              <w:rPr>
                <w:rFonts w:cs="Times New Roman"/>
                <w:szCs w:val="24"/>
              </w:rPr>
              <w:t>w ramach konsultacji publicznych podmiotami został skierowany do następujących podmiotów</w:t>
            </w:r>
            <w:r w:rsidRPr="00057919">
              <w:rPr>
                <w:rFonts w:cs="Times New Roman"/>
                <w:szCs w:val="24"/>
              </w:rPr>
              <w:t>: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Port Lotniczy Radom S.A., ul. Kaszubska 2, 26-600 Radom;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 xml:space="preserve">Bielski Park Technologiczny Lotnictwa, Przedsiębiorczości i Innowacji Sp. z o.o., ul. Stefana </w:t>
            </w:r>
            <w:proofErr w:type="spellStart"/>
            <w:r w:rsidRPr="00E046D3">
              <w:rPr>
                <w:szCs w:val="24"/>
                <w:lang w:val="pl-PL"/>
              </w:rPr>
              <w:t>Kóski</w:t>
            </w:r>
            <w:proofErr w:type="spellEnd"/>
            <w:r w:rsidRPr="00E046D3">
              <w:rPr>
                <w:szCs w:val="24"/>
                <w:lang w:val="pl-PL"/>
              </w:rPr>
              <w:t xml:space="preserve"> 43, 43-512 Kaniów;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Lotnisko Mielec Sp. z o.o., ul. Lotniskowa 30, 39-300 Mielec;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Dowództwo</w:t>
            </w:r>
            <w:r w:rsidRPr="00E046D3">
              <w:rPr>
                <w:bCs/>
                <w:szCs w:val="24"/>
                <w:lang w:val="pl-PL"/>
              </w:rPr>
              <w:t xml:space="preserve"> Sił Powietrznych, u</w:t>
            </w:r>
            <w:r w:rsidRPr="00E046D3">
              <w:rPr>
                <w:szCs w:val="24"/>
                <w:lang w:val="pl-PL"/>
              </w:rPr>
              <w:t>l. Żwirki i Wigury 103, 00-912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Szefostwo Służby Ruchu Lotniczego Sił Zbrojnych RP, ul. Żwirki i Wigury 1C, 00-912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WSK "PZL-Świdnik" S.A., ul. Kolejowa 3, 21-040 Świdnik;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Związek Regionalnych Portów Lotniczych, Al. Korfantego 38, 40-161 Katowice;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Polska Agencja Żeglugi Powietrznej, ul. Wieżowa 8, 02-147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Aeroklub Polski , ul. 17 Stycznia 39, 00-906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lastRenderedPageBreak/>
              <w:t>Aeroklub Krainy Jezior, Lotnisko Kętrzyn Wilamowo, 11-400 Kętrzyn;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Aeroklub Poznański im. Wandy Modlibowskiej, Lotnisko Kobylnica, 62-006 Kobylnica;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Aeroklub Rybnickiego Okręgu Węglowego, ul. Żorska 332, 44-200 Rybnik, skr. poczt. 117;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Aeroklub Zagłębia Miedziowego w Lubinie, ul. Spacerowa 9, 59-301 Lubin;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Biuro Projektowo-Konsultingowe Lotnisk Avia-Projekt, ul. Inżynierska 65/7, 53-230 Wrocław;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</w:rPr>
              <w:t xml:space="preserve">ILF </w:t>
            </w:r>
            <w:r w:rsidRPr="00E046D3">
              <w:rPr>
                <w:szCs w:val="24"/>
                <w:lang w:val="en-GB"/>
              </w:rPr>
              <w:t>Consulting</w:t>
            </w:r>
            <w:r w:rsidRPr="00E046D3">
              <w:rPr>
                <w:szCs w:val="24"/>
              </w:rPr>
              <w:t xml:space="preserve"> Engineers </w:t>
            </w:r>
            <w:proofErr w:type="spellStart"/>
            <w:r w:rsidRPr="00E046D3">
              <w:rPr>
                <w:szCs w:val="24"/>
                <w:lang w:val="en-GB"/>
              </w:rPr>
              <w:t>Polska</w:t>
            </w:r>
            <w:proofErr w:type="spellEnd"/>
            <w:r w:rsidRPr="00E046D3">
              <w:rPr>
                <w:szCs w:val="24"/>
              </w:rPr>
              <w:t xml:space="preserve"> Sp. z </w:t>
            </w:r>
            <w:proofErr w:type="spellStart"/>
            <w:r w:rsidRPr="00E046D3">
              <w:rPr>
                <w:szCs w:val="24"/>
              </w:rPr>
              <w:t>o.o</w:t>
            </w:r>
            <w:proofErr w:type="spellEnd"/>
            <w:r w:rsidRPr="00E046D3">
              <w:rPr>
                <w:szCs w:val="24"/>
              </w:rPr>
              <w:t xml:space="preserve">., </w:t>
            </w:r>
            <w:proofErr w:type="spellStart"/>
            <w:r w:rsidRPr="00E046D3">
              <w:rPr>
                <w:szCs w:val="24"/>
              </w:rPr>
              <w:t>ul</w:t>
            </w:r>
            <w:proofErr w:type="spellEnd"/>
            <w:r w:rsidRPr="00E046D3">
              <w:rPr>
                <w:szCs w:val="24"/>
              </w:rPr>
              <w:t xml:space="preserve">. </w:t>
            </w:r>
            <w:r w:rsidRPr="00E046D3">
              <w:rPr>
                <w:szCs w:val="24"/>
                <w:lang w:val="pl-PL"/>
              </w:rPr>
              <w:t>Postępu 15B, 02-676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Instytut Techniki Wojsk Lotniczych, ul. Księcia Bolesława 6, 01-494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Ośrodek Kształcenia Lotniczego Politechniki Rzeszowskiej, Rzeszów - Jasionka 915, 36-001 Trzebownisko;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proofErr w:type="spellStart"/>
            <w:r w:rsidRPr="00E046D3">
              <w:rPr>
                <w:szCs w:val="24"/>
                <w:lang w:val="pl-PL"/>
              </w:rPr>
              <w:t>Polconsult</w:t>
            </w:r>
            <w:proofErr w:type="spellEnd"/>
            <w:r w:rsidRPr="00E046D3">
              <w:rPr>
                <w:szCs w:val="24"/>
                <w:lang w:val="pl-PL"/>
              </w:rPr>
              <w:t xml:space="preserve"> Sp. z o.o., ul. Grójecka 34, 02-308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Samodzielna Pracownia Usług Projektowych, ul. Modlińska 190 lok. 214A, 03-119 Warszawa;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Stowarzyszenie „Inicjatywa dla Infrastruktury”, Pl. Bankowy 2, 00-095 Warszawa,</w:t>
            </w:r>
          </w:p>
          <w:p w:rsidR="003A232B" w:rsidRPr="00E046D3" w:rsidRDefault="003A232B" w:rsidP="003A232B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 w:hanging="426"/>
              <w:contextualSpacing w:val="0"/>
              <w:rPr>
                <w:szCs w:val="24"/>
                <w:lang w:val="pl-PL"/>
              </w:rPr>
            </w:pPr>
            <w:r w:rsidRPr="00E046D3">
              <w:rPr>
                <w:szCs w:val="24"/>
                <w:lang w:val="pl-PL"/>
              </w:rPr>
              <w:t>Strefa Aktywności Gospodarczej Sp. z o.o., Al. Rzeczypospolitej 116, 59-220 Legnica.</w:t>
            </w:r>
          </w:p>
          <w:p w:rsidR="003A232B" w:rsidRPr="00B550D8" w:rsidRDefault="003A232B" w:rsidP="000E387A">
            <w:pPr>
              <w:tabs>
                <w:tab w:val="left" w:pos="426"/>
              </w:tabs>
              <w:adjustRightInd w:val="0"/>
              <w:spacing w:after="60" w:line="240" w:lineRule="auto"/>
              <w:ind w:left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Wyniki konsultacji publicznych zostaną omówione w załączonym do projektu Raporcie z konsultacji.</w:t>
            </w:r>
          </w:p>
        </w:tc>
      </w:tr>
      <w:tr w:rsidR="003A232B" w:rsidRPr="00E574C6" w:rsidTr="000E387A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lastRenderedPageBreak/>
              <w:t xml:space="preserve"> Wpływ na sektor finansów publicznych</w:t>
            </w:r>
          </w:p>
        </w:tc>
      </w:tr>
      <w:tr w:rsidR="003A232B" w:rsidRPr="00E574C6" w:rsidTr="000E387A">
        <w:trPr>
          <w:trHeight w:val="142"/>
        </w:trPr>
        <w:tc>
          <w:tcPr>
            <w:tcW w:w="1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 w:after="40"/>
              <w:rPr>
                <w:rFonts w:cs="Times New Roman"/>
                <w:i/>
                <w:szCs w:val="24"/>
              </w:rPr>
            </w:pPr>
            <w:r w:rsidRPr="00057919">
              <w:rPr>
                <w:rFonts w:cs="Times New Roman"/>
                <w:szCs w:val="24"/>
              </w:rPr>
              <w:t>(ceny stałe z 2014 r.)</w:t>
            </w:r>
          </w:p>
        </w:tc>
        <w:tc>
          <w:tcPr>
            <w:tcW w:w="365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spacing w:before="40" w:after="40"/>
              <w:rPr>
                <w:rFonts w:cs="Times New Roman"/>
                <w:i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>Skutki w okresie 10 lat od wejścia w życie zmian [mln zł]</w:t>
            </w:r>
          </w:p>
        </w:tc>
      </w:tr>
      <w:tr w:rsidR="003A232B" w:rsidRPr="00057919" w:rsidTr="000E387A">
        <w:trPr>
          <w:trHeight w:val="14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2</w:t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5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10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spacing w:before="40" w:after="40"/>
              <w:ind w:left="-95" w:right="-143"/>
              <w:jc w:val="center"/>
              <w:rPr>
                <w:rFonts w:cs="Times New Roman"/>
                <w:i/>
                <w:spacing w:val="-2"/>
                <w:szCs w:val="24"/>
              </w:rPr>
            </w:pPr>
            <w:r w:rsidRPr="00057919">
              <w:rPr>
                <w:rFonts w:cs="Times New Roman"/>
                <w:i/>
                <w:spacing w:val="-2"/>
                <w:szCs w:val="24"/>
              </w:rPr>
              <w:t>Łącznie (0-10)</w:t>
            </w:r>
          </w:p>
        </w:tc>
      </w:tr>
      <w:tr w:rsidR="003A232B" w:rsidRPr="00057919" w:rsidTr="000E387A">
        <w:trPr>
          <w:trHeight w:val="32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Dochody ogółem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3A232B" w:rsidRPr="00057919" w:rsidTr="000E387A">
        <w:trPr>
          <w:trHeight w:val="32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budżet państwa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3A232B" w:rsidRPr="00057919" w:rsidTr="000E387A">
        <w:trPr>
          <w:trHeight w:val="344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JST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44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3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Wydatki ogółem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3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budżet państwa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5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JST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51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6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Saldo ogółem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3A232B" w:rsidRPr="00057919" w:rsidTr="000E387A">
        <w:trPr>
          <w:trHeight w:val="360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budżet państwa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0</w:t>
            </w:r>
          </w:p>
        </w:tc>
      </w:tr>
      <w:tr w:rsidR="003A232B" w:rsidRPr="00057919" w:rsidTr="000E387A">
        <w:trPr>
          <w:trHeight w:val="357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JST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57"/>
        </w:trPr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pozostałe jednostki (oddzielnie)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sym w:font="Symbol" w:char="002D"/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</w:tr>
      <w:tr w:rsidR="003A232B" w:rsidRPr="00057919" w:rsidTr="000E387A">
        <w:trPr>
          <w:trHeight w:val="348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Źródła finansowania </w:t>
            </w:r>
          </w:p>
        </w:tc>
        <w:tc>
          <w:tcPr>
            <w:tcW w:w="40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Nie dotyczy.</w:t>
            </w:r>
          </w:p>
        </w:tc>
      </w:tr>
      <w:tr w:rsidR="003A232B" w:rsidRPr="00E574C6" w:rsidTr="000E387A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Dodatkowe informacje, w tym wskazanie źródeł danych i przyjętych do </w:t>
            </w:r>
            <w:r w:rsidRPr="00057919">
              <w:rPr>
                <w:rFonts w:cs="Times New Roman"/>
                <w:szCs w:val="24"/>
              </w:rPr>
              <w:lastRenderedPageBreak/>
              <w:t>obliczeń założeń</w:t>
            </w:r>
          </w:p>
        </w:tc>
        <w:tc>
          <w:tcPr>
            <w:tcW w:w="40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3A232B" w:rsidRPr="00E574C6" w:rsidTr="000E387A">
        <w:trPr>
          <w:trHeight w:val="34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120" w:after="120" w:line="240" w:lineRule="auto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057919">
              <w:rPr>
                <w:rFonts w:cs="Times New Roman"/>
                <w:b/>
                <w:spacing w:val="-2"/>
                <w:szCs w:val="24"/>
              </w:rPr>
              <w:lastRenderedPageBreak/>
              <w:t xml:space="preserve">Wpływ na </w:t>
            </w:r>
            <w:r w:rsidRPr="00057919">
              <w:rPr>
                <w:rFonts w:cs="Times New Roman"/>
                <w:b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Niniejszy projekt nie ma wpływu na konkurencyjność gospodarki i przedsiębiorczość ani też na rodzinę i gospodarstwa domowe. Dotyczy on tylko lotnisk o ograniczonej certyfikacji, w tym zwłaszcza ich właścicieli i zarządzających tymi lotniskami.</w:t>
            </w:r>
          </w:p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Niniejszy projekt jest nowelizacją istniejącego rozporządzenia, które określa wymagania dla lotnisk o ograniczonej certyfikacji. Z tego względu przy rozpatrywaniu ewentualnych obciążeń finansowych związanych z wdrożeniem nowych wymagań należy brać pod uwagę wyłącznie </w:t>
            </w:r>
            <w:r w:rsidRPr="00057919">
              <w:rPr>
                <w:rFonts w:cs="Times New Roman"/>
                <w:b/>
                <w:szCs w:val="24"/>
              </w:rPr>
              <w:t>zmiany</w:t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b/>
                <w:szCs w:val="24"/>
              </w:rPr>
              <w:t xml:space="preserve">i nowe wymagania </w:t>
            </w:r>
            <w:r w:rsidRPr="00057919">
              <w:rPr>
                <w:rFonts w:cs="Times New Roman"/>
                <w:szCs w:val="24"/>
              </w:rPr>
              <w:t>wprowadzone w tym projekcie. Jak wspomniano w pkt 3 uzasadnienia są to przede wszystkim zmiany wprowadzone przez ICAO do Załącznika 14 Tom I (zmiana:11A, 11B i 12) i Tom II (zmiana 5 i 6).</w:t>
            </w:r>
          </w:p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Zmiany te nie nakładają na zarządzających lotniskami wymagań, które wiązałyby się z </w:t>
            </w:r>
            <w:r w:rsidRPr="00057919">
              <w:rPr>
                <w:rFonts w:cs="Times New Roman"/>
                <w:b/>
                <w:szCs w:val="24"/>
              </w:rPr>
              <w:t>poniesieniem</w:t>
            </w:r>
            <w:r w:rsidRPr="00057919">
              <w:rPr>
                <w:rFonts w:cs="Times New Roman"/>
                <w:szCs w:val="24"/>
              </w:rPr>
              <w:t xml:space="preserve"> dużych nakładów finansowych, ani też obowiązku, instalowania nowych urządzeń czy rozbudowy infrastruktury lotniskowej. Tylko niektóre nowe wymagania ICAO ujęte w zmienionym Załączniku 14 tom 1, wiążą się z pewnymi kosztami, ale zostały one objęte okresem przejściowym do dnia 1 stycznia 2020 r. Wymagania te dotyczą min.: bardziej wyrazistego (wzmocnionego) oznakowania linii środkowej drogi kołowania (5.2.8.9), prostych świateł strefy przyziemienia (5.3.14), świateł linii środkowej drogi kołowania (5.3.17.8), poprzeczki zatrzymania (5.3.20.7), świateł ochronnych drogi startowej w układzie A lub B (5.3.23.2 i 5.3.23.3) oraz poprzeczek zakazu wjazdu (5.3.29), jeśli dane elementy są stosowane na lotnisku. </w:t>
            </w:r>
          </w:p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Należy tutaj dodać, że nie wszystkie lotniska są takie same, dlatego ww. zmiany dotyczą tylko wybranych lotnisk. Do każdego lotnisk stosuje sie innym zakres wymagań, w zależności od rodzaju lotniska, kodu referencyjnego i rodzaju wykonywanych operacji, oraz posiadanej infrastruktury lotniczej.</w:t>
            </w:r>
          </w:p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Jeśli chodzi o pozostałe wymagania wprowadzane w niniejszym projekcie to dotyczą one zmiany procedur, zapisów w instrukcji operacyjnej oraz przeszkolenia zainteresowanego personelu. Nie powodują one dodatkowych bezpośrednich obciążeń finansowych dla zarządzających lotniskami. </w:t>
            </w:r>
          </w:p>
          <w:p w:rsidR="003A232B" w:rsidRPr="00057919" w:rsidRDefault="003A232B" w:rsidP="000E387A">
            <w:pPr>
              <w:adjustRightInd w:val="0"/>
              <w:spacing w:after="120" w:line="288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Wymagania wprowadzane w niniejszym projekcie nie wymagają dużych nakładów finansowych. Ich wdrożenie jest niezbędne w celu utrzymania jednolitych standardów na lotniskach, co wpłynie pozytywne na poprawę bezpieczeństwa i efektywności operacji lotniczych. </w:t>
            </w:r>
          </w:p>
        </w:tc>
      </w:tr>
      <w:tr w:rsidR="003A232B" w:rsidRPr="00057919" w:rsidTr="000E387A">
        <w:trPr>
          <w:trHeight w:val="142"/>
        </w:trPr>
        <w:tc>
          <w:tcPr>
            <w:tcW w:w="1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Czas w latach od wejścia w życie zmian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3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10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i/>
                <w:spacing w:val="-2"/>
                <w:szCs w:val="24"/>
              </w:rPr>
            </w:pPr>
            <w:r w:rsidRPr="00057919">
              <w:rPr>
                <w:rFonts w:cs="Times New Roman"/>
                <w:i/>
                <w:spacing w:val="-2"/>
                <w:szCs w:val="24"/>
              </w:rPr>
              <w:t>Łącznie (0-10)</w:t>
            </w:r>
          </w:p>
        </w:tc>
      </w:tr>
      <w:tr w:rsidR="003A232B" w:rsidRPr="00057919" w:rsidTr="000E387A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W ujęciu pieniężnym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 xml:space="preserve">(w mln zł, 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ceny stałe z 2014 r.)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duże przedsiębiorstwa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</w:tr>
      <w:tr w:rsidR="003A232B" w:rsidRPr="00057919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sektor mikro-, małych i średnich przedsiębiorstw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</w:tr>
      <w:tr w:rsidR="003A232B" w:rsidRPr="00057919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rodzina, obywatele oraz gospodarstwa domowe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jc w:val="center"/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>―</w:t>
            </w:r>
          </w:p>
        </w:tc>
      </w:tr>
      <w:tr w:rsidR="003A232B" w:rsidRPr="00057919" w:rsidTr="000E387A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W ujęciu niepieniężnym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duże przedsiębiorstwa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3A232B" w:rsidRPr="00057919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sektor mikro-, małych i średnich przedsiębiorstw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3A232B" w:rsidRPr="00057919" w:rsidTr="000E387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tabs>
                <w:tab w:val="right" w:pos="1936"/>
              </w:tabs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rodzina, obywatele oraz gospodarstwa domowe 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b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3A232B" w:rsidRPr="00057919" w:rsidTr="000E387A">
        <w:trPr>
          <w:trHeight w:val="142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Niemierzalne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3A232B" w:rsidRPr="00057919" w:rsidTr="000E387A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2B" w:rsidRPr="00057919" w:rsidRDefault="003A232B" w:rsidP="000E387A">
            <w:pPr>
              <w:widowControl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  <w:tr w:rsidR="003A232B" w:rsidRPr="00057919" w:rsidTr="000E387A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400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Nie dotyczy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</w:tc>
      </w:tr>
      <w:tr w:rsidR="003A232B" w:rsidRPr="00E574C6" w:rsidTr="000E387A">
        <w:trPr>
          <w:trHeight w:val="3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3A232B" w:rsidRPr="00057919" w:rsidTr="000E387A">
        <w:trPr>
          <w:trHeight w:val="1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pacing w:val="-2"/>
                <w:szCs w:val="24"/>
              </w:rPr>
              <w:t>nie dotyczy</w:t>
            </w:r>
          </w:p>
        </w:tc>
      </w:tr>
      <w:tr w:rsidR="003A232B" w:rsidRPr="00057919" w:rsidTr="000E387A">
        <w:trPr>
          <w:trHeight w:val="946"/>
        </w:trPr>
        <w:tc>
          <w:tcPr>
            <w:tcW w:w="21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 xml:space="preserve">Wprowadzane są obciążenia poza bezwzględnie wymaganymi przez UE </w:t>
            </w:r>
            <w:r w:rsidRPr="00057919">
              <w:rPr>
                <w:rFonts w:cs="Times New Roman"/>
                <w:szCs w:val="24"/>
              </w:rPr>
              <w:t>(szczegóły w odwróconej tabeli zgodności).</w:t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tak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nie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nie dotyczy</w:t>
            </w:r>
          </w:p>
        </w:tc>
      </w:tr>
      <w:tr w:rsidR="003A232B" w:rsidRPr="00E574C6" w:rsidTr="000E387A">
        <w:trPr>
          <w:trHeight w:val="1245"/>
        </w:trPr>
        <w:tc>
          <w:tcPr>
            <w:tcW w:w="21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 xml:space="preserve">zmniejszenie liczby dokumentów 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zmniejszenie liczby procedur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skrócenie czasu na załatwienie sprawy</w:t>
            </w:r>
          </w:p>
          <w:p w:rsidR="003A232B" w:rsidRPr="00057919" w:rsidRDefault="003A232B" w:rsidP="000E387A">
            <w:pPr>
              <w:rPr>
                <w:rFonts w:cs="Times New Roman"/>
                <w:b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inne:</w:t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FORMTEXT </w:instrText>
            </w:r>
            <w:r w:rsidRPr="00057919">
              <w:rPr>
                <w:rFonts w:cs="Times New Roman"/>
                <w:szCs w:val="24"/>
              </w:rPr>
            </w:r>
            <w:r w:rsidRPr="00057919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zwiększenie liczby dokumentów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zwiększenie liczby procedur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wydłużenie czasu na załatwienie sprawy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</w:t>
            </w:r>
            <w:r w:rsidRPr="00057919">
              <w:rPr>
                <w:rFonts w:cs="Times New Roman"/>
                <w:spacing w:val="-2"/>
                <w:szCs w:val="24"/>
              </w:rPr>
              <w:t>inne:</w:t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FORMTEXT </w:instrText>
            </w:r>
            <w:r w:rsidRPr="00057919">
              <w:rPr>
                <w:rFonts w:cs="Times New Roman"/>
                <w:szCs w:val="24"/>
              </w:rPr>
            </w:r>
            <w:r w:rsidRPr="00057919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noProof/>
                <w:szCs w:val="24"/>
              </w:rPr>
              <w:t> </w:t>
            </w:r>
            <w:r w:rsidRPr="00057919">
              <w:rPr>
                <w:rFonts w:cs="Times New Roman"/>
                <w:szCs w:val="24"/>
              </w:rPr>
              <w:fldChar w:fldCharType="end"/>
            </w:r>
          </w:p>
        </w:tc>
      </w:tr>
      <w:tr w:rsidR="003A232B" w:rsidRPr="00057919" w:rsidTr="000E387A">
        <w:trPr>
          <w:trHeight w:val="870"/>
        </w:trPr>
        <w:tc>
          <w:tcPr>
            <w:tcW w:w="21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lastRenderedPageBreak/>
              <w:t>Wprowadzane obciążenia są przystosowane do ich elektronizacji.</w:t>
            </w:r>
          </w:p>
        </w:tc>
        <w:tc>
          <w:tcPr>
            <w:tcW w:w="28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tak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nie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 nie dotyczy</w:t>
            </w:r>
          </w:p>
        </w:tc>
      </w:tr>
      <w:tr w:rsidR="003A232B" w:rsidRPr="00057919" w:rsidTr="000E387A">
        <w:trPr>
          <w:trHeight w:val="42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Komentarz: Nie dotyczy.</w:t>
            </w:r>
          </w:p>
        </w:tc>
      </w:tr>
      <w:tr w:rsidR="003A232B" w:rsidRPr="00057919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uppressAutoHyphens w:val="0"/>
              <w:autoSpaceDE/>
              <w:autoSpaceDN/>
              <w:spacing w:before="60" w:after="60" w:line="240" w:lineRule="auto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 xml:space="preserve">Wpływ na rynek pracy 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Projektowana zmian rozporządzenia nie ma wpływu na rynek pracy.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</w:p>
        </w:tc>
      </w:tr>
      <w:tr w:rsidR="003A232B" w:rsidRPr="00057919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>Wpływ na pozostałe obszary</w:t>
            </w:r>
          </w:p>
        </w:tc>
      </w:tr>
      <w:tr w:rsidR="003A232B" w:rsidRPr="00057919" w:rsidTr="000E387A">
        <w:trPr>
          <w:trHeight w:val="1031"/>
        </w:trPr>
        <w:tc>
          <w:tcPr>
            <w:tcW w:w="1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środowisko naturalne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sytuacja i rozwój regionalny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pacing w:val="-2"/>
                <w:szCs w:val="24"/>
              </w:rPr>
              <w:t xml:space="preserve">inne: </w:t>
            </w:r>
            <w:r w:rsidRPr="00057919">
              <w:rPr>
                <w:rFonts w:cs="Times New Roman"/>
                <w:szCs w:val="24"/>
              </w:rPr>
              <w:t>nie dotyczy</w:t>
            </w:r>
          </w:p>
        </w:tc>
        <w:tc>
          <w:tcPr>
            <w:tcW w:w="14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pacing w:val="-2"/>
                <w:szCs w:val="24"/>
              </w:rPr>
              <w:t>demografia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mienie państwowe</w:t>
            </w:r>
          </w:p>
        </w:tc>
        <w:tc>
          <w:tcPr>
            <w:tcW w:w="1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pacing w:val="-2"/>
                <w:szCs w:val="24"/>
              </w:rPr>
              <w:t>informatyzacja</w:t>
            </w:r>
          </w:p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919">
              <w:rPr>
                <w:rFonts w:cs="Times New Roman"/>
                <w:szCs w:val="24"/>
              </w:rPr>
              <w:instrText xml:space="preserve"> FORMCHECKBOX </w:instrText>
            </w:r>
            <w:r w:rsidR="00C4761E">
              <w:rPr>
                <w:rFonts w:cs="Times New Roman"/>
                <w:szCs w:val="24"/>
              </w:rPr>
            </w:r>
            <w:r w:rsidR="00C4761E">
              <w:rPr>
                <w:rFonts w:cs="Times New Roman"/>
                <w:szCs w:val="24"/>
              </w:rPr>
              <w:fldChar w:fldCharType="separate"/>
            </w:r>
            <w:r w:rsidRPr="00057919">
              <w:rPr>
                <w:rFonts w:cs="Times New Roman"/>
                <w:szCs w:val="24"/>
              </w:rPr>
              <w:fldChar w:fldCharType="end"/>
            </w:r>
            <w:r w:rsidRPr="00057919">
              <w:rPr>
                <w:rFonts w:cs="Times New Roman"/>
                <w:szCs w:val="24"/>
              </w:rPr>
              <w:t xml:space="preserve"> </w:t>
            </w:r>
            <w:r w:rsidRPr="00057919">
              <w:rPr>
                <w:rFonts w:cs="Times New Roman"/>
                <w:spacing w:val="-2"/>
                <w:szCs w:val="24"/>
              </w:rPr>
              <w:t>zdrowie</w:t>
            </w:r>
          </w:p>
        </w:tc>
      </w:tr>
      <w:tr w:rsidR="003A232B" w:rsidRPr="00057919" w:rsidTr="000E387A">
        <w:trPr>
          <w:trHeight w:val="598"/>
        </w:trPr>
        <w:tc>
          <w:tcPr>
            <w:tcW w:w="1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>Omówienie wpływu</w:t>
            </w:r>
          </w:p>
        </w:tc>
        <w:tc>
          <w:tcPr>
            <w:tcW w:w="32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zCs w:val="24"/>
              </w:rPr>
              <w:t>Nie dotyczy.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zCs w:val="24"/>
              </w:rPr>
            </w:pPr>
            <w:r w:rsidRPr="00057919">
              <w:rPr>
                <w:rFonts w:cs="Times New Roman"/>
                <w:szCs w:val="24"/>
              </w:rPr>
              <w:t xml:space="preserve">Planuje się, aby nowe </w:t>
            </w:r>
            <w:r w:rsidRPr="00057919">
              <w:rPr>
                <w:rFonts w:cs="Times New Roman"/>
                <w:bCs/>
                <w:szCs w:val="24"/>
              </w:rPr>
              <w:t xml:space="preserve">rozporządzenie </w:t>
            </w:r>
            <w:r w:rsidRPr="00057919">
              <w:rPr>
                <w:rFonts w:cs="Times New Roman"/>
                <w:szCs w:val="24"/>
              </w:rPr>
              <w:t xml:space="preserve">weszło w życie po upływie 90 dni od dnia ogłoszenia. </w:t>
            </w:r>
            <w:r w:rsidRPr="00057919">
              <w:rPr>
                <w:rFonts w:cs="Times New Roman"/>
                <w:spacing w:val="-2"/>
                <w:szCs w:val="24"/>
              </w:rPr>
              <w:t>Niniejsze rozporządzenie powinno wejść w życie w tym samym terminie, co procedowane równolegle rozporządzenia wydawane na podstawie art. 59a ust. 5 i art. 59a ust. 7 ustawy - Prawo lotnicze. Dodatkowo dla części wymagań przewidziano stosowanie ich od dnia 1 stycznia 2020 r.</w:t>
            </w: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zCs w:val="24"/>
              </w:rPr>
            </w:pPr>
            <w:r w:rsidRPr="00057919">
              <w:rPr>
                <w:rFonts w:cs="Times New Roman"/>
                <w:b/>
                <w:szCs w:val="24"/>
              </w:rPr>
              <w:t xml:space="preserve"> </w:t>
            </w:r>
            <w:r w:rsidRPr="00057919">
              <w:rPr>
                <w:rFonts w:cs="Times New Roman"/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3A232B" w:rsidRPr="00057919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  <w:r w:rsidRPr="00057919">
              <w:rPr>
                <w:rFonts w:cs="Times New Roman"/>
                <w:spacing w:val="-2"/>
                <w:szCs w:val="24"/>
              </w:rPr>
              <w:t>Nie dotyczy.</w:t>
            </w: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  <w:tr w:rsidR="003A232B" w:rsidRPr="00E574C6" w:rsidTr="000E387A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A232B" w:rsidRPr="00057919" w:rsidRDefault="003A232B" w:rsidP="003A232B">
            <w:pPr>
              <w:widowControl/>
              <w:numPr>
                <w:ilvl w:val="0"/>
                <w:numId w:val="1"/>
              </w:numPr>
              <w:suppressAutoHyphens w:val="0"/>
              <w:autoSpaceDE/>
              <w:autoSpaceDN/>
              <w:spacing w:before="60" w:after="60" w:line="240" w:lineRule="auto"/>
              <w:ind w:left="318" w:hanging="284"/>
              <w:textAlignment w:val="auto"/>
              <w:rPr>
                <w:rFonts w:cs="Times New Roman"/>
                <w:b/>
                <w:spacing w:val="-2"/>
                <w:szCs w:val="24"/>
              </w:rPr>
            </w:pPr>
            <w:r w:rsidRPr="00057919">
              <w:rPr>
                <w:rFonts w:cs="Times New Roman"/>
                <w:b/>
                <w:spacing w:val="-2"/>
                <w:szCs w:val="24"/>
              </w:rPr>
              <w:t xml:space="preserve">Załączniki (istotne dokumenty źródłowe, badania, analizy itp.) </w:t>
            </w:r>
          </w:p>
        </w:tc>
      </w:tr>
      <w:tr w:rsidR="003A232B" w:rsidRPr="00E574C6" w:rsidTr="000E387A">
        <w:trPr>
          <w:trHeight w:val="2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  <w:u w:val="single"/>
              </w:rPr>
            </w:pPr>
          </w:p>
          <w:p w:rsidR="003A232B" w:rsidRPr="00057919" w:rsidRDefault="003A232B" w:rsidP="000E387A">
            <w:pPr>
              <w:rPr>
                <w:rFonts w:cs="Times New Roman"/>
                <w:spacing w:val="-2"/>
                <w:szCs w:val="24"/>
              </w:rPr>
            </w:pPr>
          </w:p>
        </w:tc>
      </w:tr>
    </w:tbl>
    <w:p w:rsidR="003A232B" w:rsidRDefault="003A232B" w:rsidP="003A232B">
      <w:pPr>
        <w:widowControl/>
        <w:tabs>
          <w:tab w:val="left" w:pos="1134"/>
        </w:tabs>
        <w:spacing w:after="120" w:line="264" w:lineRule="auto"/>
        <w:ind w:left="1134"/>
        <w:rPr>
          <w:rFonts w:cs="Times New Roman"/>
          <w:szCs w:val="24"/>
        </w:rPr>
        <w:sectPr w:rsidR="003A232B" w:rsidSect="0047275E">
          <w:footerReference w:type="defaul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232B" w:rsidRPr="00E046D3" w:rsidRDefault="003A232B" w:rsidP="003A232B">
      <w:pPr>
        <w:pStyle w:val="NAZORGWYDnazwaorganuwydajcegoprojektowanyakt"/>
        <w:jc w:val="left"/>
        <w:rPr>
          <w:color w:val="000000"/>
        </w:rPr>
      </w:pPr>
    </w:p>
    <w:p w:rsidR="00064562" w:rsidRDefault="00064562"/>
    <w:sectPr w:rsidR="00064562" w:rsidSect="00E046D3">
      <w:type w:val="continuous"/>
      <w:pgSz w:w="11906" w:h="16838"/>
      <w:pgMar w:top="1560" w:right="143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1E" w:rsidRDefault="00C4761E">
      <w:pPr>
        <w:spacing w:line="240" w:lineRule="auto"/>
      </w:pPr>
      <w:r>
        <w:separator/>
      </w:r>
    </w:p>
  </w:endnote>
  <w:endnote w:type="continuationSeparator" w:id="0">
    <w:p w:rsidR="00C4761E" w:rsidRDefault="00C4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3" w:rsidRDefault="003A232B" w:rsidP="0047275E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0011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0011">
      <w:rPr>
        <w:b/>
        <w:noProof/>
      </w:rPr>
      <w:t>6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3" w:rsidRDefault="003A232B" w:rsidP="0047275E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D001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D001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1E" w:rsidRDefault="00C4761E">
      <w:pPr>
        <w:spacing w:line="240" w:lineRule="auto"/>
      </w:pPr>
      <w:r>
        <w:separator/>
      </w:r>
    </w:p>
  </w:footnote>
  <w:footnote w:type="continuationSeparator" w:id="0">
    <w:p w:rsidR="00C4761E" w:rsidRDefault="00C47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2B"/>
    <w:rsid w:val="0004107F"/>
    <w:rsid w:val="00064562"/>
    <w:rsid w:val="00122060"/>
    <w:rsid w:val="003A232B"/>
    <w:rsid w:val="00C4761E"/>
    <w:rsid w:val="00CE7C44"/>
    <w:rsid w:val="00D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232B"/>
    <w:pPr>
      <w:widowControl w:val="0"/>
      <w:suppressAutoHyphens/>
      <w:autoSpaceDE w:val="0"/>
      <w:autoSpaceDN w:val="0"/>
      <w:spacing w:after="0"/>
      <w:jc w:val="left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A232B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3A232B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rsid w:val="003A232B"/>
    <w:pPr>
      <w:keepNext/>
      <w:widowControl/>
      <w:autoSpaceDE/>
      <w:spacing w:after="120"/>
      <w:ind w:left="4820"/>
      <w:jc w:val="center"/>
    </w:pPr>
    <w:rPr>
      <w:rFonts w:ascii="Times" w:hAnsi="Times" w:cs="Times New Roman"/>
      <w:b/>
      <w:bCs/>
      <w:caps/>
      <w:kern w:val="3"/>
      <w:szCs w:val="24"/>
    </w:rPr>
  </w:style>
  <w:style w:type="paragraph" w:styleId="Akapitzlist">
    <w:name w:val="List Paragraph"/>
    <w:basedOn w:val="Normalny"/>
    <w:uiPriority w:val="34"/>
    <w:qFormat/>
    <w:rsid w:val="003A232B"/>
    <w:pPr>
      <w:suppressAutoHyphens w:val="0"/>
      <w:autoSpaceDE/>
      <w:autoSpaceDN/>
      <w:spacing w:line="276" w:lineRule="auto"/>
      <w:ind w:left="720"/>
      <w:contextualSpacing/>
      <w:jc w:val="both"/>
      <w:textAlignment w:val="auto"/>
    </w:pPr>
    <w:rPr>
      <w:rFonts w:eastAsia="Calibri" w:cs="Times New Roman"/>
      <w:sz w:val="22"/>
      <w:szCs w:val="22"/>
      <w:lang w:val="en-US" w:eastAsia="en-US"/>
    </w:rPr>
  </w:style>
  <w:style w:type="character" w:customStyle="1" w:styleId="StopkaZnak1">
    <w:name w:val="Stopka Znak1"/>
    <w:link w:val="Stopka"/>
    <w:uiPriority w:val="99"/>
    <w:rsid w:val="003A232B"/>
    <w:rPr>
      <w:rFonts w:ascii="Times" w:eastAsia="Times New Roman" w:hAnsi="Times" w:cs="Times New Roman"/>
      <w:kern w:val="3"/>
      <w:sz w:val="24"/>
      <w:szCs w:val="24"/>
      <w:lang w:eastAsia="ar-SA"/>
    </w:rPr>
  </w:style>
  <w:style w:type="paragraph" w:customStyle="1" w:styleId="Default">
    <w:name w:val="Default"/>
    <w:uiPriority w:val="99"/>
    <w:rsid w:val="003A232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A2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232B"/>
    <w:pPr>
      <w:widowControl w:val="0"/>
      <w:suppressAutoHyphens/>
      <w:autoSpaceDE w:val="0"/>
      <w:autoSpaceDN w:val="0"/>
      <w:spacing w:after="0"/>
      <w:jc w:val="left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3A232B"/>
    <w:pPr>
      <w:tabs>
        <w:tab w:val="center" w:pos="4536"/>
        <w:tab w:val="right" w:pos="9072"/>
      </w:tabs>
      <w:autoSpaceDE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3A232B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rsid w:val="003A232B"/>
    <w:pPr>
      <w:keepNext/>
      <w:widowControl/>
      <w:autoSpaceDE/>
      <w:spacing w:after="120"/>
      <w:ind w:left="4820"/>
      <w:jc w:val="center"/>
    </w:pPr>
    <w:rPr>
      <w:rFonts w:ascii="Times" w:hAnsi="Times" w:cs="Times New Roman"/>
      <w:b/>
      <w:bCs/>
      <w:caps/>
      <w:kern w:val="3"/>
      <w:szCs w:val="24"/>
    </w:rPr>
  </w:style>
  <w:style w:type="paragraph" w:styleId="Akapitzlist">
    <w:name w:val="List Paragraph"/>
    <w:basedOn w:val="Normalny"/>
    <w:uiPriority w:val="34"/>
    <w:qFormat/>
    <w:rsid w:val="003A232B"/>
    <w:pPr>
      <w:suppressAutoHyphens w:val="0"/>
      <w:autoSpaceDE/>
      <w:autoSpaceDN/>
      <w:spacing w:line="276" w:lineRule="auto"/>
      <w:ind w:left="720"/>
      <w:contextualSpacing/>
      <w:jc w:val="both"/>
      <w:textAlignment w:val="auto"/>
    </w:pPr>
    <w:rPr>
      <w:rFonts w:eastAsia="Calibri" w:cs="Times New Roman"/>
      <w:sz w:val="22"/>
      <w:szCs w:val="22"/>
      <w:lang w:val="en-US" w:eastAsia="en-US"/>
    </w:rPr>
  </w:style>
  <w:style w:type="character" w:customStyle="1" w:styleId="StopkaZnak1">
    <w:name w:val="Stopka Znak1"/>
    <w:link w:val="Stopka"/>
    <w:uiPriority w:val="99"/>
    <w:rsid w:val="003A232B"/>
    <w:rPr>
      <w:rFonts w:ascii="Times" w:eastAsia="Times New Roman" w:hAnsi="Times" w:cs="Times New Roman"/>
      <w:kern w:val="3"/>
      <w:sz w:val="24"/>
      <w:szCs w:val="24"/>
      <w:lang w:eastAsia="ar-SA"/>
    </w:rPr>
  </w:style>
  <w:style w:type="paragraph" w:customStyle="1" w:styleId="Default">
    <w:name w:val="Default"/>
    <w:uiPriority w:val="99"/>
    <w:rsid w:val="003A232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A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tokowski@ul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grabowska-wlaz@mib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dcterms:created xsi:type="dcterms:W3CDTF">2017-11-23T10:20:00Z</dcterms:created>
  <dcterms:modified xsi:type="dcterms:W3CDTF">2017-11-23T10:20:00Z</dcterms:modified>
</cp:coreProperties>
</file>