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9D3AF" w14:textId="77777777" w:rsidR="00F45968" w:rsidRPr="001A21F4" w:rsidRDefault="00F45968" w:rsidP="004C0281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1A21F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UZASADNIENIE</w:t>
      </w:r>
    </w:p>
    <w:p w14:paraId="4D7A9F70" w14:textId="77777777" w:rsidR="00394369" w:rsidRPr="001A21F4" w:rsidRDefault="00394369" w:rsidP="0039436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44374BC" w14:textId="65A04731" w:rsidR="00AD061E" w:rsidRPr="00871AE3" w:rsidRDefault="00AD061E" w:rsidP="00761460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100" w:afterAutospacing="1" w:line="36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1AE3">
        <w:rPr>
          <w:rFonts w:ascii="Times New Roman" w:eastAsia="Times New Roman" w:hAnsi="Times New Roman"/>
          <w:b/>
          <w:sz w:val="24"/>
          <w:szCs w:val="24"/>
          <w:lang w:eastAsia="pl-PL"/>
        </w:rPr>
        <w:t>Potrze</w:t>
      </w:r>
      <w:r w:rsidR="001F7E7A">
        <w:rPr>
          <w:rFonts w:ascii="Times New Roman" w:eastAsia="Times New Roman" w:hAnsi="Times New Roman"/>
          <w:b/>
          <w:sz w:val="24"/>
          <w:szCs w:val="24"/>
          <w:lang w:eastAsia="pl-PL"/>
        </w:rPr>
        <w:t>ba i cel wydania rozporządzenia</w:t>
      </w:r>
    </w:p>
    <w:p w14:paraId="5AE24376" w14:textId="6D58617E" w:rsidR="00F45968" w:rsidRPr="00C60A79" w:rsidRDefault="00F45968" w:rsidP="006902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60A79">
        <w:rPr>
          <w:rFonts w:ascii="Times New Roman" w:eastAsia="Times New Roman" w:hAnsi="Times New Roman"/>
          <w:sz w:val="24"/>
          <w:szCs w:val="24"/>
          <w:lang w:eastAsia="pl-PL"/>
        </w:rPr>
        <w:t>Przedmiotowa regulacja stanowi wykonanie przepisu art. 26d ust. 7 ustawy z dnia 3</w:t>
      </w:r>
      <w:r w:rsidR="006E15A1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Pr="00C60A79">
        <w:rPr>
          <w:rFonts w:ascii="Times New Roman" w:eastAsia="Times New Roman" w:hAnsi="Times New Roman"/>
          <w:sz w:val="24"/>
          <w:szCs w:val="24"/>
          <w:lang w:eastAsia="pl-PL"/>
        </w:rPr>
        <w:t>lipca 2002 r. – Prawo lotnicze (</w:t>
      </w:r>
      <w:r w:rsidR="00B51674" w:rsidRPr="00B51674">
        <w:rPr>
          <w:rFonts w:ascii="Times New Roman" w:eastAsia="Times New Roman" w:hAnsi="Times New Roman"/>
          <w:sz w:val="24"/>
          <w:szCs w:val="24"/>
          <w:lang w:eastAsia="pl-PL"/>
        </w:rPr>
        <w:t>Dz. U. z 20</w:t>
      </w:r>
      <w:r w:rsidR="00F3358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B51674" w:rsidRPr="00B51674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</w:t>
      </w:r>
      <w:r w:rsidR="00F3358D">
        <w:rPr>
          <w:rFonts w:ascii="Times New Roman" w:eastAsia="Times New Roman" w:hAnsi="Times New Roman"/>
          <w:sz w:val="24"/>
          <w:szCs w:val="24"/>
          <w:lang w:eastAsia="pl-PL"/>
        </w:rPr>
        <w:t xml:space="preserve"> 1970</w:t>
      </w:r>
      <w:r w:rsidR="0047632D" w:rsidRPr="00C60A79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F3358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E15A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D061E" w:rsidRPr="00C60A79">
        <w:rPr>
          <w:rFonts w:ascii="Times New Roman" w:eastAsia="Times New Roman" w:hAnsi="Times New Roman"/>
          <w:sz w:val="24"/>
          <w:szCs w:val="24"/>
          <w:lang w:eastAsia="pl-PL"/>
        </w:rPr>
        <w:t xml:space="preserve">zwanej </w:t>
      </w:r>
      <w:r w:rsidR="004C6CDB" w:rsidRPr="00C60A79">
        <w:rPr>
          <w:rFonts w:ascii="Times New Roman" w:eastAsia="Times New Roman" w:hAnsi="Times New Roman"/>
          <w:sz w:val="24"/>
          <w:szCs w:val="24"/>
          <w:lang w:eastAsia="pl-PL"/>
        </w:rPr>
        <w:t>dalej „ustaw</w:t>
      </w:r>
      <w:r w:rsidR="00AD061E" w:rsidRPr="00C60A79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="004C6CDB" w:rsidRPr="00C60A79">
        <w:rPr>
          <w:rFonts w:ascii="Times New Roman" w:eastAsia="Times New Roman" w:hAnsi="Times New Roman"/>
          <w:sz w:val="24"/>
          <w:szCs w:val="24"/>
          <w:lang w:eastAsia="pl-PL"/>
        </w:rPr>
        <w:t xml:space="preserve"> – Prawo lotnicze”</w:t>
      </w:r>
      <w:r w:rsidRPr="00C60A79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542E6C0" w14:textId="77777777" w:rsidR="00F45968" w:rsidRPr="007221F0" w:rsidRDefault="00F45968" w:rsidP="006902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>Niniejsze rozporządzenie jest aktem wydawa</w:t>
      </w:r>
      <w:r w:rsidR="005D0AE4">
        <w:rPr>
          <w:rFonts w:ascii="Times New Roman" w:eastAsia="Times New Roman" w:hAnsi="Times New Roman"/>
          <w:sz w:val="24"/>
          <w:szCs w:val="24"/>
          <w:lang w:eastAsia="pl-PL"/>
        </w:rPr>
        <w:t>nym corocznie – od roku 2012 na 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podstawie art. 26d ust. 7 ustawy </w:t>
      </w:r>
      <w:r w:rsidRPr="007221F0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 Prawo lotnicze, a w latach wcześniejszych na podstawie art. 129a ust. 2 tejże ustawy.</w:t>
      </w:r>
    </w:p>
    <w:p w14:paraId="629B2844" w14:textId="72A110D0" w:rsidR="00F45968" w:rsidRPr="00D845D8" w:rsidRDefault="00F45968" w:rsidP="006902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26d ust. 7 ustawy </w:t>
      </w:r>
      <w:r w:rsidRPr="007221F0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 Prawo lotnicze minister właściwy do spraw transportu w porozumieniu z ministrem właściwym do spraw finansów publicznych określa, w drodze rozporządzenia, wysokość wpłaty lotniczej, o której mowa w ust. 1 tego artykułu, uwzględniając w szczególności </w:t>
      </w:r>
      <w:r w:rsidR="00690256">
        <w:rPr>
          <w:rFonts w:ascii="Times New Roman" w:eastAsia="Times New Roman" w:hAnsi="Times New Roman"/>
          <w:sz w:val="24"/>
          <w:szCs w:val="24"/>
          <w:lang w:eastAsia="pl-PL"/>
        </w:rPr>
        <w:t xml:space="preserve">nakład pracy i 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>koszty realizacji zadań</w:t>
      </w:r>
      <w:r w:rsidR="000704DA"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90256">
        <w:rPr>
          <w:rFonts w:ascii="Times New Roman" w:eastAsia="Times New Roman" w:hAnsi="Times New Roman"/>
          <w:sz w:val="24"/>
          <w:szCs w:val="24"/>
          <w:lang w:eastAsia="pl-PL"/>
        </w:rPr>
        <w:t xml:space="preserve">przez 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>Prezesa Urzędu Lotnictwa Cywilnego</w:t>
      </w:r>
      <w:r w:rsidR="00AD061E"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, zwanego dalej </w:t>
      </w:r>
      <w:r w:rsidR="000704DA" w:rsidRPr="007221F0">
        <w:rPr>
          <w:rFonts w:ascii="Times New Roman" w:eastAsia="Times New Roman" w:hAnsi="Times New Roman"/>
          <w:sz w:val="24"/>
          <w:szCs w:val="24"/>
          <w:lang w:eastAsia="pl-PL"/>
        </w:rPr>
        <w:t>„Prezes</w:t>
      </w:r>
      <w:r w:rsidR="00AD061E" w:rsidRPr="007221F0">
        <w:rPr>
          <w:rFonts w:ascii="Times New Roman" w:eastAsia="Times New Roman" w:hAnsi="Times New Roman"/>
          <w:sz w:val="24"/>
          <w:szCs w:val="24"/>
          <w:lang w:eastAsia="pl-PL"/>
        </w:rPr>
        <w:t>em</w:t>
      </w:r>
      <w:r w:rsidR="000704DA"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 Urzędu</w:t>
      </w:r>
      <w:r w:rsidR="00AD061E"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”, </w:t>
      </w:r>
      <w:r w:rsidR="000704DA"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ponoszone 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przy </w:t>
      </w:r>
      <w:r w:rsidR="000704DA"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wykonywaniu </w:t>
      </w:r>
      <w:r w:rsidRPr="009E6830">
        <w:rPr>
          <w:rFonts w:ascii="Times New Roman" w:eastAsia="Times New Roman" w:hAnsi="Times New Roman"/>
          <w:sz w:val="24"/>
          <w:szCs w:val="24"/>
          <w:lang w:eastAsia="pl-PL"/>
        </w:rPr>
        <w:t xml:space="preserve">nadzoru nad instytucjami zapewniającymi służby żeglugi powietrznej. Sposób ustalania wpłaty </w:t>
      </w:r>
      <w:r w:rsidR="005B55B1">
        <w:rPr>
          <w:rFonts w:ascii="Times New Roman" w:eastAsia="Times New Roman" w:hAnsi="Times New Roman"/>
          <w:sz w:val="24"/>
          <w:szCs w:val="24"/>
          <w:lang w:eastAsia="pl-PL"/>
        </w:rPr>
        <w:t xml:space="preserve">lotniczej oraz warunki i terminy jej uiszczania określone są w treści ustawy </w:t>
      </w:r>
      <w:r w:rsidR="005B55B1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="005B55B1">
        <w:rPr>
          <w:rFonts w:ascii="Times New Roman" w:eastAsia="Times New Roman" w:hAnsi="Times New Roman"/>
          <w:sz w:val="24"/>
          <w:szCs w:val="24"/>
          <w:lang w:eastAsia="pl-PL"/>
        </w:rPr>
        <w:t xml:space="preserve"> Prawo lotnicze (art. 26d ust. 1</w:t>
      </w:r>
      <w:r w:rsidR="005B55B1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="005B55B1">
        <w:rPr>
          <w:rFonts w:ascii="Times New Roman" w:eastAsia="Times New Roman" w:hAnsi="Times New Roman"/>
          <w:sz w:val="24"/>
          <w:szCs w:val="24"/>
          <w:lang w:eastAsia="pl-PL"/>
        </w:rPr>
        <w:t xml:space="preserve">6), natomiast jedyną kwestią pozostającą do </w:t>
      </w:r>
      <w:r w:rsidR="005D0AE4">
        <w:rPr>
          <w:rFonts w:ascii="Times New Roman" w:eastAsia="Times New Roman" w:hAnsi="Times New Roman"/>
          <w:sz w:val="24"/>
          <w:szCs w:val="24"/>
          <w:lang w:eastAsia="pl-PL"/>
        </w:rPr>
        <w:t>uregulowania w </w:t>
      </w:r>
      <w:r w:rsidR="005B55B1">
        <w:rPr>
          <w:rFonts w:ascii="Times New Roman" w:eastAsia="Times New Roman" w:hAnsi="Times New Roman"/>
          <w:sz w:val="24"/>
          <w:szCs w:val="24"/>
          <w:lang w:eastAsia="pl-PL"/>
        </w:rPr>
        <w:t>rozporządzeniu jest wysokość tej wpłaty.</w:t>
      </w:r>
    </w:p>
    <w:p w14:paraId="7564B4B5" w14:textId="77777777" w:rsidR="00786B73" w:rsidRDefault="005B55B1" w:rsidP="006902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1A8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Konieczność wydania </w:t>
      </w:r>
      <w:r w:rsidRPr="00F640C2">
        <w:rPr>
          <w:rFonts w:ascii="Times New Roman" w:eastAsia="Times New Roman" w:hAnsi="Times New Roman"/>
          <w:sz w:val="24"/>
          <w:szCs w:val="24"/>
          <w:lang w:eastAsia="pl-PL"/>
        </w:rPr>
        <w:t>niniejszego rozporządzenia wynika z przepisów</w:t>
      </w:r>
      <w:r w:rsidR="00786B73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14:paraId="33757532" w14:textId="0D901CE0" w:rsidR="00786B73" w:rsidRPr="00AD365F" w:rsidRDefault="005B55B1" w:rsidP="00F335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365F">
        <w:rPr>
          <w:rFonts w:ascii="Times New Roman" w:eastAsia="Times New Roman" w:hAnsi="Times New Roman"/>
          <w:sz w:val="24"/>
          <w:szCs w:val="24"/>
          <w:lang w:eastAsia="pl-PL"/>
        </w:rPr>
        <w:t>rozporządze</w:t>
      </w:r>
      <w:r w:rsidR="006000BC" w:rsidRPr="00AD365F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C60A79" w:rsidRPr="00AD365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D365F">
        <w:rPr>
          <w:rFonts w:ascii="Times New Roman" w:eastAsia="Times New Roman" w:hAnsi="Times New Roman"/>
          <w:sz w:val="24"/>
          <w:szCs w:val="24"/>
          <w:lang w:eastAsia="pl-PL"/>
        </w:rPr>
        <w:t>wykonawcz</w:t>
      </w:r>
      <w:r w:rsidR="006000BC" w:rsidRPr="00AD365F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AD365F">
        <w:rPr>
          <w:rFonts w:ascii="Times New Roman" w:eastAsia="Times New Roman" w:hAnsi="Times New Roman"/>
          <w:sz w:val="24"/>
          <w:szCs w:val="24"/>
          <w:lang w:eastAsia="pl-PL"/>
        </w:rPr>
        <w:t xml:space="preserve"> Komisji (UE) </w:t>
      </w:r>
      <w:r w:rsidR="00350685" w:rsidRPr="00AD365F">
        <w:rPr>
          <w:rFonts w:ascii="Times New Roman" w:eastAsia="Times New Roman" w:hAnsi="Times New Roman"/>
          <w:sz w:val="24"/>
          <w:szCs w:val="24"/>
          <w:lang w:eastAsia="pl-PL"/>
        </w:rPr>
        <w:t>2019/317</w:t>
      </w:r>
      <w:r w:rsidRPr="00AD365F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350685" w:rsidRPr="00AD365F">
        <w:rPr>
          <w:rFonts w:ascii="Times New Roman" w:eastAsia="Times New Roman" w:hAnsi="Times New Roman"/>
          <w:sz w:val="24"/>
          <w:szCs w:val="24"/>
          <w:lang w:eastAsia="pl-PL"/>
        </w:rPr>
        <w:t xml:space="preserve">11 lutego 2019 r. </w:t>
      </w:r>
      <w:r w:rsidRPr="00AD365F">
        <w:rPr>
          <w:rFonts w:ascii="Times New Roman" w:eastAsia="Times New Roman" w:hAnsi="Times New Roman"/>
          <w:sz w:val="24"/>
          <w:szCs w:val="24"/>
          <w:lang w:eastAsia="pl-PL"/>
        </w:rPr>
        <w:t xml:space="preserve">ustanawiającego </w:t>
      </w:r>
      <w:r w:rsidR="00350685" w:rsidRPr="00AD365F">
        <w:rPr>
          <w:rFonts w:ascii="Times New Roman" w:eastAsia="Times New Roman" w:hAnsi="Times New Roman"/>
          <w:sz w:val="24"/>
          <w:szCs w:val="24"/>
          <w:lang w:eastAsia="pl-PL"/>
        </w:rPr>
        <w:t>system skuteczności działania i opłat w jednolitej europejskiej przestrzeni powietrznej oraz uchylające</w:t>
      </w:r>
      <w:r w:rsidR="006001C3" w:rsidRPr="00AD365F">
        <w:rPr>
          <w:rFonts w:ascii="Times New Roman" w:eastAsia="Times New Roman" w:hAnsi="Times New Roman"/>
          <w:sz w:val="24"/>
          <w:szCs w:val="24"/>
          <w:lang w:eastAsia="pl-PL"/>
        </w:rPr>
        <w:t>go</w:t>
      </w:r>
      <w:r w:rsidR="00350685" w:rsidRPr="00AD365F">
        <w:rPr>
          <w:rFonts w:ascii="Times New Roman" w:eastAsia="Times New Roman" w:hAnsi="Times New Roman"/>
          <w:sz w:val="24"/>
          <w:szCs w:val="24"/>
          <w:lang w:eastAsia="pl-PL"/>
        </w:rPr>
        <w:t xml:space="preserve"> rozporządzenia wykonawcze (UE) nr 390/2013 i (UE) nr 391/2013 (</w:t>
      </w:r>
      <w:r w:rsidRPr="00AD365F">
        <w:rPr>
          <w:rFonts w:ascii="Times New Roman" w:eastAsia="Times New Roman" w:hAnsi="Times New Roman"/>
          <w:sz w:val="24"/>
          <w:szCs w:val="24"/>
          <w:lang w:eastAsia="pl-PL"/>
        </w:rPr>
        <w:t xml:space="preserve">Dz. Urz. UE L </w:t>
      </w:r>
      <w:r w:rsidR="00350685" w:rsidRPr="00AD365F">
        <w:rPr>
          <w:rFonts w:ascii="Times New Roman" w:eastAsia="Times New Roman" w:hAnsi="Times New Roman"/>
          <w:sz w:val="24"/>
          <w:szCs w:val="24"/>
          <w:lang w:eastAsia="pl-PL"/>
        </w:rPr>
        <w:t>56</w:t>
      </w:r>
      <w:r w:rsidRPr="00AD365F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r w:rsidR="00350685" w:rsidRPr="00AD365F">
        <w:rPr>
          <w:rFonts w:ascii="Times New Roman" w:eastAsia="Times New Roman" w:hAnsi="Times New Roman"/>
          <w:sz w:val="24"/>
          <w:szCs w:val="24"/>
          <w:lang w:eastAsia="pl-PL"/>
        </w:rPr>
        <w:t>25</w:t>
      </w:r>
      <w:r w:rsidRPr="00AD365F"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350685" w:rsidRPr="00AD365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D365F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350685" w:rsidRPr="00AD365F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F3358D">
        <w:rPr>
          <w:rFonts w:ascii="Times New Roman" w:eastAsia="Times New Roman" w:hAnsi="Times New Roman"/>
          <w:sz w:val="24"/>
          <w:szCs w:val="24"/>
          <w:lang w:eastAsia="pl-PL"/>
        </w:rPr>
        <w:t>, str. 1),</w:t>
      </w:r>
      <w:r w:rsidRPr="00AD365F">
        <w:rPr>
          <w:rFonts w:ascii="Times New Roman" w:eastAsia="Times New Roman" w:hAnsi="Times New Roman"/>
          <w:sz w:val="24"/>
          <w:szCs w:val="24"/>
          <w:lang w:eastAsia="pl-PL"/>
        </w:rPr>
        <w:t xml:space="preserve"> zwanego dalej „rozporządzeniem </w:t>
      </w:r>
      <w:r w:rsidR="00AB6F13" w:rsidRPr="00AD365F">
        <w:rPr>
          <w:rFonts w:ascii="Times New Roman" w:eastAsia="Times New Roman" w:hAnsi="Times New Roman"/>
          <w:sz w:val="24"/>
          <w:szCs w:val="24"/>
          <w:lang w:eastAsia="pl-PL"/>
        </w:rPr>
        <w:t>2019/317</w:t>
      </w:r>
      <w:r w:rsidRPr="00AD365F">
        <w:rPr>
          <w:rFonts w:ascii="Times New Roman" w:eastAsia="Times New Roman" w:hAnsi="Times New Roman"/>
          <w:sz w:val="24"/>
          <w:szCs w:val="24"/>
          <w:lang w:eastAsia="pl-PL"/>
        </w:rPr>
        <w:t>/U</w:t>
      </w:r>
      <w:r w:rsidR="005D0AE4" w:rsidRPr="00AD365F">
        <w:rPr>
          <w:rFonts w:ascii="Times New Roman" w:eastAsia="Times New Roman" w:hAnsi="Times New Roman"/>
          <w:sz w:val="24"/>
          <w:szCs w:val="24"/>
          <w:lang w:eastAsia="pl-PL"/>
        </w:rPr>
        <w:t>E”</w:t>
      </w:r>
      <w:r w:rsidR="00351CD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C1DD94E" w14:textId="50D81AFC" w:rsidR="00F3358D" w:rsidRPr="00F3358D" w:rsidRDefault="006000BC" w:rsidP="00F335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365F">
        <w:rPr>
          <w:rFonts w:ascii="Times New Roman" w:eastAsia="Times New Roman" w:hAnsi="Times New Roman"/>
          <w:sz w:val="24"/>
          <w:szCs w:val="24"/>
          <w:lang w:eastAsia="pl-PL"/>
        </w:rPr>
        <w:t>rozporządzenia wykonawczego Komisji (UE) nr 39</w:t>
      </w:r>
      <w:r w:rsidR="00786B7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AD365F">
        <w:rPr>
          <w:rFonts w:ascii="Times New Roman" w:eastAsia="Times New Roman" w:hAnsi="Times New Roman"/>
          <w:sz w:val="24"/>
          <w:szCs w:val="24"/>
          <w:lang w:eastAsia="pl-PL"/>
        </w:rPr>
        <w:t>/2013 z 3 maja 20</w:t>
      </w:r>
      <w:r w:rsidR="00786B73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AD365F">
        <w:rPr>
          <w:rFonts w:ascii="Times New Roman" w:eastAsia="Times New Roman" w:hAnsi="Times New Roman"/>
          <w:sz w:val="24"/>
          <w:szCs w:val="24"/>
          <w:lang w:eastAsia="pl-PL"/>
        </w:rPr>
        <w:t>3 r. ustanawiającego wspólny system opłat za korzystanie ze służb żeglugi powietrznej</w:t>
      </w:r>
      <w:r w:rsidR="002B2608" w:rsidRPr="00AD365F">
        <w:rPr>
          <w:rFonts w:ascii="Times New Roman" w:eastAsia="Times New Roman" w:hAnsi="Times New Roman"/>
          <w:sz w:val="24"/>
          <w:szCs w:val="24"/>
          <w:lang w:eastAsia="pl-PL"/>
        </w:rPr>
        <w:t xml:space="preserve"> (Dz. Urz. UE L 128 z</w:t>
      </w:r>
      <w:r w:rsidR="00123E10" w:rsidRPr="00AD365F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786B73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2B2608" w:rsidRPr="00AD365F">
        <w:rPr>
          <w:rFonts w:ascii="Times New Roman" w:eastAsia="Times New Roman" w:hAnsi="Times New Roman"/>
          <w:sz w:val="24"/>
          <w:szCs w:val="24"/>
          <w:lang w:eastAsia="pl-PL"/>
        </w:rPr>
        <w:t>9.</w:t>
      </w:r>
      <w:r w:rsidR="00786B73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2B2608" w:rsidRPr="00AD365F">
        <w:rPr>
          <w:rFonts w:ascii="Times New Roman" w:eastAsia="Times New Roman" w:hAnsi="Times New Roman"/>
          <w:sz w:val="24"/>
          <w:szCs w:val="24"/>
          <w:lang w:eastAsia="pl-PL"/>
        </w:rPr>
        <w:t>5.2013, str. 31</w:t>
      </w:r>
      <w:r w:rsidR="00F3358D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125D9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B6F13" w:rsidRPr="00AD365F">
        <w:rPr>
          <w:rFonts w:ascii="Times New Roman" w:eastAsia="Times New Roman" w:hAnsi="Times New Roman"/>
          <w:sz w:val="24"/>
          <w:szCs w:val="24"/>
          <w:lang w:eastAsia="pl-PL"/>
        </w:rPr>
        <w:t xml:space="preserve"> zwanego dalej „rozporządzeniem nr 391/2013/UE</w:t>
      </w:r>
      <w:r w:rsidR="00125D97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F640C2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1"/>
      </w:r>
      <w:r w:rsidR="001E0581" w:rsidRPr="001E058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351CD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60264C84" w14:textId="10EC1590" w:rsidR="006D0D8F" w:rsidRPr="00F3358D" w:rsidRDefault="005D0AE4" w:rsidP="00F3358D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F3358D">
        <w:rPr>
          <w:rFonts w:ascii="Times New Roman" w:eastAsia="Times New Roman" w:hAnsi="Times New Roman"/>
          <w:sz w:val="24"/>
          <w:szCs w:val="24"/>
          <w:lang w:eastAsia="pl-PL"/>
        </w:rPr>
        <w:t>rozporządzenia (WE) nr </w:t>
      </w:r>
      <w:r w:rsidR="005B55B1" w:rsidRPr="00F3358D">
        <w:rPr>
          <w:rFonts w:ascii="Times New Roman" w:eastAsia="Times New Roman" w:hAnsi="Times New Roman"/>
          <w:sz w:val="24"/>
          <w:szCs w:val="24"/>
          <w:lang w:eastAsia="pl-PL"/>
        </w:rPr>
        <w:t xml:space="preserve">550/2004 Parlamentu Europejskiego i Rady z dnia 10 </w:t>
      </w:r>
      <w:r w:rsidR="005B55B1" w:rsidRPr="00F335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marca 2004 r. w sprawie zapewniania służb żeglugi powietrznej w Jednolitej Europejskiej Przestrzeni Powietrznej (Dz. Urz. UE L 96 z 31.03.2004,</w:t>
      </w:r>
      <w:r w:rsidR="00AD365F" w:rsidRPr="00F335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str.10,</w:t>
      </w:r>
      <w:r w:rsidR="005B55B1" w:rsidRPr="00F335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z późn. zm.</w:t>
      </w:r>
      <w:r w:rsidR="00AD365F" w:rsidRPr="00F3358D">
        <w:rPr>
          <w:rStyle w:val="Odwoanieprzypisudolnego"/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D365F" w:rsidRPr="00F3358D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AD365F" w:rsidRPr="00F3358D">
        <w:rPr>
          <w:rStyle w:val="Teksttreci"/>
          <w:rFonts w:ascii="Times New Roman" w:eastAsia="Times New Roman" w:hAnsi="Times New Roman"/>
          <w:color w:val="000000"/>
          <w:sz w:val="24"/>
          <w:szCs w:val="24"/>
        </w:rPr>
        <w:t xml:space="preserve">Dz. Urz. UE Polskie </w:t>
      </w:r>
      <w:r w:rsidR="00AD365F" w:rsidRPr="00F3358D">
        <w:rPr>
          <w:rStyle w:val="Teksttreci"/>
          <w:rFonts w:ascii="Times New Roman" w:eastAsia="Times New Roman" w:hAnsi="Times New Roman"/>
          <w:color w:val="000000"/>
          <w:sz w:val="24"/>
          <w:szCs w:val="24"/>
        </w:rPr>
        <w:lastRenderedPageBreak/>
        <w:t>wydanie specjalne, rozdz. 7, t. 8, str. 31)</w:t>
      </w:r>
      <w:r w:rsidR="005B55B1" w:rsidRPr="00F3358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38525339" w14:textId="77777777" w:rsidR="005D0AE4" w:rsidRPr="00AD365F" w:rsidRDefault="005B55B1" w:rsidP="00346EFF">
      <w:pPr>
        <w:widowControl w:val="0"/>
        <w:autoSpaceDE w:val="0"/>
        <w:autoSpaceDN w:val="0"/>
        <w:adjustRightInd w:val="0"/>
        <w:spacing w:after="0" w:line="360" w:lineRule="auto"/>
        <w:ind w:left="284"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AD365F">
        <w:rPr>
          <w:rFonts w:ascii="Times New Roman" w:eastAsia="Times New Roman" w:hAnsi="Times New Roman"/>
          <w:sz w:val="24"/>
          <w:szCs w:val="24"/>
          <w:lang w:eastAsia="pl-PL"/>
        </w:rPr>
        <w:t>Przytoczone powyżej akty prawne Unii Europejskiej stanowią, że opłaty nawigacyjne – których elementem są koszty Urzędu Lotnictwa Cywilnego, zwanego dalej „Urzędem”, związane ze sprawowaniem nadzoru nad służbami żeglugi powietrznej – ustalane są na okres roku kalendarzowego. Tym samym na każdy rok wydawane jest odrębne rozporządzenie określające wysokość wpłaty lotniczej na dany rok.</w:t>
      </w:r>
    </w:p>
    <w:p w14:paraId="494F816E" w14:textId="77777777" w:rsidR="000C29CD" w:rsidRPr="00D845D8" w:rsidRDefault="000C29CD" w:rsidP="006902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253CFE" w14:textId="77777777" w:rsidR="00D77783" w:rsidRDefault="005B55B1" w:rsidP="00690256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1AE3">
        <w:rPr>
          <w:rFonts w:ascii="Times New Roman" w:eastAsia="Times New Roman" w:hAnsi="Times New Roman"/>
          <w:b/>
          <w:sz w:val="24"/>
          <w:szCs w:val="24"/>
          <w:lang w:eastAsia="pl-PL"/>
        </w:rPr>
        <w:t>Zakres regulacji</w:t>
      </w:r>
    </w:p>
    <w:p w14:paraId="51A1A28E" w14:textId="77777777" w:rsidR="006D0D8F" w:rsidRPr="00871AE3" w:rsidRDefault="006D0D8F" w:rsidP="006D0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40E609F6" w14:textId="77777777" w:rsidR="00F45968" w:rsidRPr="007221F0" w:rsidRDefault="00F45968" w:rsidP="00346EF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845D8">
        <w:rPr>
          <w:rFonts w:ascii="Times New Roman" w:eastAsia="Times New Roman" w:hAnsi="Times New Roman"/>
          <w:sz w:val="24"/>
          <w:szCs w:val="24"/>
          <w:lang w:eastAsia="pl-PL"/>
        </w:rPr>
        <w:t>Zgodnie z wymienionymi powyżej aktami prawnymi</w:t>
      </w:r>
      <w:r w:rsidR="009A4A55" w:rsidRPr="00D845D8">
        <w:rPr>
          <w:rFonts w:ascii="Times New Roman" w:eastAsia="Times New Roman" w:hAnsi="Times New Roman"/>
          <w:sz w:val="24"/>
          <w:szCs w:val="24"/>
          <w:lang w:eastAsia="pl-PL"/>
        </w:rPr>
        <w:t xml:space="preserve"> Unii Europejskiej</w:t>
      </w:r>
      <w:r w:rsidRPr="00D845D8">
        <w:rPr>
          <w:rFonts w:ascii="Times New Roman" w:eastAsia="Times New Roman" w:hAnsi="Times New Roman"/>
          <w:sz w:val="24"/>
          <w:szCs w:val="24"/>
          <w:lang w:eastAsia="pl-PL"/>
        </w:rPr>
        <w:t>, opłaty nawigacyjne muszą być ustalane w oparciu o koszty ponoszone w związku z zapewnianiem służb żeglugi powietrznej</w:t>
      </w:r>
      <w:r w:rsidR="00F3358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74044F">
        <w:rPr>
          <w:rFonts w:ascii="Times New Roman" w:eastAsia="Times New Roman" w:hAnsi="Times New Roman"/>
          <w:sz w:val="24"/>
          <w:szCs w:val="24"/>
          <w:lang w:eastAsia="pl-PL"/>
        </w:rPr>
        <w:t xml:space="preserve"> Koszty służb żeglugi powietrznej to </w:t>
      </w:r>
      <w:r w:rsidRPr="00D845D8">
        <w:rPr>
          <w:rFonts w:ascii="Times New Roman" w:eastAsia="Times New Roman" w:hAnsi="Times New Roman"/>
          <w:sz w:val="24"/>
          <w:szCs w:val="24"/>
          <w:lang w:eastAsia="pl-PL"/>
        </w:rPr>
        <w:t>koszty ponoszone przez instytucje zapewniające służby żeglugi powietrznej oraz przez krajową władzę nad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zorującą. Koszty ponoszone przez władze krajowe mogą zostać włączone do podstawy kosztowej opłat pobieranych przez instytucje zapewniające służby żeglugi powietrznej pod warunkiem, że są one ponoszone przez te władze w związku z zapewnianiem służb żeglugi powietrznej. Oznacza to, że do podstawy kosztowej opłat nawigacyjnych </w:t>
      </w:r>
      <w:r w:rsidR="004C5D6D"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mogą być wliczane </w:t>
      </w:r>
      <w:r w:rsidR="008A4E9E">
        <w:rPr>
          <w:rFonts w:ascii="Times New Roman" w:eastAsia="Times New Roman" w:hAnsi="Times New Roman"/>
          <w:sz w:val="24"/>
          <w:szCs w:val="24"/>
          <w:lang w:eastAsia="pl-PL"/>
        </w:rPr>
        <w:t>tylko i 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>wyłącznie te koszty, które są ponoszone przez Urząd</w:t>
      </w:r>
      <w:r w:rsidR="00F03AE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B5269">
        <w:rPr>
          <w:rFonts w:ascii="Times New Roman" w:eastAsia="Times New Roman" w:hAnsi="Times New Roman"/>
          <w:sz w:val="24"/>
          <w:szCs w:val="24"/>
          <w:lang w:eastAsia="pl-PL"/>
        </w:rPr>
        <w:t>Lotnictwa Cywilnego</w:t>
      </w:r>
      <w:r w:rsidR="0030601C">
        <w:rPr>
          <w:rFonts w:ascii="Times New Roman" w:eastAsia="Times New Roman" w:hAnsi="Times New Roman"/>
          <w:sz w:val="24"/>
          <w:szCs w:val="24"/>
          <w:lang w:eastAsia="pl-PL"/>
        </w:rPr>
        <w:t>, zwany dalej „Urzędem”</w:t>
      </w:r>
      <w:r w:rsidR="00F3358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4B526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03AE9">
        <w:rPr>
          <w:rFonts w:ascii="Times New Roman" w:eastAsia="Times New Roman" w:hAnsi="Times New Roman"/>
          <w:sz w:val="24"/>
          <w:szCs w:val="24"/>
          <w:lang w:eastAsia="pl-PL"/>
        </w:rPr>
        <w:t>którego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 Prezes </w:t>
      </w:r>
      <w:r w:rsidR="003A278C">
        <w:rPr>
          <w:rFonts w:ascii="Times New Roman" w:eastAsia="Times New Roman" w:hAnsi="Times New Roman"/>
          <w:sz w:val="24"/>
          <w:szCs w:val="24"/>
          <w:lang w:eastAsia="pl-PL"/>
        </w:rPr>
        <w:t xml:space="preserve">Urzędu 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pełni funkcję </w:t>
      </w:r>
      <w:r w:rsidR="00352272"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krajowej 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>władzy nadzorującej</w:t>
      </w:r>
      <w:r w:rsidR="00F3358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 w związku z realizacją funkcji związanych z zapewnianiem służb żeglugi powietrznej, w tym funkcji nadzorczych w rozumieniu przepisów dotyczących tworzenia Jednolitej Europejskiej Przestrzeni Powietrznej oraz bieżącego nadzoru nad realizacją zadań przez instytucje zapewniające służby żeglugi powietrznej.</w:t>
      </w:r>
    </w:p>
    <w:p w14:paraId="5418FD2E" w14:textId="77777777" w:rsidR="003C5BBC" w:rsidRPr="004D6559" w:rsidRDefault="00F45968" w:rsidP="00346EF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Określona w przepisach niniejszego rozporządzenia kwota wpłaty lotniczej uiszczanej przez instytucję </w:t>
      </w:r>
      <w:r w:rsidRPr="006E3B3D">
        <w:rPr>
          <w:rFonts w:ascii="Times New Roman" w:eastAsia="Times New Roman" w:hAnsi="Times New Roman"/>
          <w:sz w:val="24"/>
          <w:szCs w:val="24"/>
          <w:lang w:eastAsia="pl-PL"/>
        </w:rPr>
        <w:t>zapewniającą służby żeglugi powietrznej, która w podstawach kosztowych</w:t>
      </w:r>
      <w:r w:rsidR="00F231AF" w:rsidRPr="006E3B3D">
        <w:rPr>
          <w:rFonts w:ascii="Times New Roman" w:eastAsia="Times New Roman" w:hAnsi="Times New Roman"/>
          <w:sz w:val="24"/>
          <w:szCs w:val="24"/>
          <w:lang w:eastAsia="pl-PL"/>
        </w:rPr>
        <w:t xml:space="preserve"> opłat nawigacyjnych na rok </w:t>
      </w:r>
      <w:r w:rsidR="00F231AF" w:rsidRPr="001B394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B21791" w:rsidRPr="001B394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9684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1B394D">
        <w:rPr>
          <w:rFonts w:ascii="Times New Roman" w:eastAsia="Times New Roman" w:hAnsi="Times New Roman"/>
          <w:sz w:val="24"/>
          <w:szCs w:val="24"/>
          <w:lang w:eastAsia="pl-PL"/>
        </w:rPr>
        <w:t xml:space="preserve"> uwzględnia koszty ponoszone przez Prezesa Urzędu</w:t>
      </w:r>
      <w:r w:rsidR="00A40465" w:rsidRPr="001B394D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663B6" w:rsidRPr="001B394D">
        <w:rPr>
          <w:rFonts w:ascii="Times New Roman" w:eastAsia="Times New Roman" w:hAnsi="Times New Roman"/>
          <w:sz w:val="24"/>
          <w:szCs w:val="24"/>
          <w:lang w:eastAsia="pl-PL"/>
        </w:rPr>
        <w:t>w </w:t>
      </w:r>
      <w:r w:rsidRPr="001B394D">
        <w:rPr>
          <w:rFonts w:ascii="Times New Roman" w:eastAsia="Times New Roman" w:hAnsi="Times New Roman"/>
          <w:sz w:val="24"/>
          <w:szCs w:val="24"/>
          <w:lang w:eastAsia="pl-PL"/>
        </w:rPr>
        <w:t>roku 20</w:t>
      </w:r>
      <w:r w:rsidR="00B21791" w:rsidRPr="001B394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296847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1B394D">
        <w:rPr>
          <w:rFonts w:ascii="Times New Roman" w:eastAsia="Times New Roman" w:hAnsi="Times New Roman"/>
          <w:sz w:val="24"/>
          <w:szCs w:val="24"/>
          <w:lang w:eastAsia="pl-PL"/>
        </w:rPr>
        <w:t xml:space="preserve"> wyniesie </w:t>
      </w:r>
      <w:r w:rsidR="00645662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13 </w:t>
      </w:r>
      <w:r w:rsidR="009747C9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723</w:t>
      </w:r>
      <w:r w:rsidR="00645662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9747C9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722</w:t>
      </w:r>
      <w:r w:rsidR="00645662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9747C9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13</w:t>
      </w:r>
      <w:r w:rsidR="008A4E9E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21791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</w:t>
      </w:r>
      <w:r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 Na tę kwotę składają się</w:t>
      </w:r>
      <w:r w:rsidR="003C5BBC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14:paraId="5DB5AD3E" w14:textId="77777777" w:rsidR="003C5BBC" w:rsidRPr="007221F0" w:rsidRDefault="000E507D" w:rsidP="00690256">
      <w:pPr>
        <w:widowControl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</w:t>
      </w:r>
      <w:r w:rsidR="005B55B1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wydatki Urzędu związane ze służbami żeglu</w:t>
      </w:r>
      <w:r w:rsidR="008A4E9E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gi powietrznej planowane na 20</w:t>
      </w:r>
      <w:r w:rsidR="00B21791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296847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="008C44A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5B55B1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r., stanowiące tzw. koszty ustalone, określone w treści planu skuteczności działania dla służb żeglugi powietrznej na lata 20</w:t>
      </w:r>
      <w:r w:rsidR="00B21791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</w:t>
      </w:r>
      <w:r w:rsidR="005B55B1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-20</w:t>
      </w:r>
      <w:r w:rsidR="00B21791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24</w:t>
      </w:r>
      <w:r w:rsidR="00876293" w:rsidRPr="004D6559">
        <w:rPr>
          <w:rStyle w:val="Odwoanieprzypisudolnego"/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footnoteReference w:id="2"/>
      </w:r>
      <w:r w:rsidR="001E0581" w:rsidRPr="001E058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1003F6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zwanego dalej </w:t>
      </w:r>
      <w:r w:rsidR="00F231AF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„Plan</w:t>
      </w:r>
      <w:r w:rsidR="001003F6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em</w:t>
      </w:r>
      <w:r w:rsidR="00F231AF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”</w:t>
      </w:r>
      <w:r w:rsidR="00F45968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wysokości </w:t>
      </w:r>
      <w:r w:rsidR="009747C9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14</w:t>
      </w:r>
      <w:r w:rsidR="00645662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9747C9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116</w:t>
      </w:r>
      <w:r w:rsidR="00645662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9747C9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816</w:t>
      </w:r>
      <w:r w:rsidR="00645662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9747C9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77</w:t>
      </w:r>
      <w:r w:rsidR="008A4E9E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21791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</w:t>
      </w:r>
      <w:r w:rsidR="00F45968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1DC41411" w14:textId="77777777" w:rsidR="003C5BBC" w:rsidRPr="004D6559" w:rsidRDefault="000E507D" w:rsidP="00690256">
      <w:pPr>
        <w:widowControl w:val="0"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– 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F45968"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korekta inflacyjna za </w:t>
      </w:r>
      <w:r w:rsidR="00F45968" w:rsidRPr="006E3B3D">
        <w:rPr>
          <w:rFonts w:ascii="Times New Roman" w:eastAsia="Times New Roman" w:hAnsi="Times New Roman"/>
          <w:sz w:val="24"/>
          <w:szCs w:val="24"/>
          <w:lang w:eastAsia="pl-PL"/>
        </w:rPr>
        <w:t>rok 201</w:t>
      </w:r>
      <w:r w:rsidR="00296847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F45968" w:rsidRPr="006E3B3D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dotycząca </w:t>
      </w:r>
      <w:r w:rsidR="00F45968" w:rsidRPr="001B394D">
        <w:rPr>
          <w:rFonts w:ascii="Times New Roman" w:eastAsia="Times New Roman" w:hAnsi="Times New Roman"/>
          <w:sz w:val="24"/>
          <w:szCs w:val="24"/>
          <w:lang w:eastAsia="pl-PL"/>
        </w:rPr>
        <w:t>opłat trasowych</w:t>
      </w:r>
      <w:r w:rsidR="00F45968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</w:t>
      </w:r>
      <w:r w:rsidR="00D32DD8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</w:t>
      </w:r>
      <w:r w:rsidR="001B394D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większająca</w:t>
      </w:r>
      <w:r w:rsidR="00F45968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kwotę wpłaty</w:t>
      </w:r>
      <w:r w:rsidR="008A4E9E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lotniczej na rok 20</w:t>
      </w:r>
      <w:r w:rsidR="00B21791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</w:t>
      </w:r>
      <w:r w:rsidR="00296847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="00F45968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wysokości </w:t>
      </w:r>
      <w:r w:rsidR="009747C9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5 463</w:t>
      </w:r>
      <w:r w:rsidR="00ED2A1D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9747C9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64</w:t>
      </w:r>
      <w:r w:rsidR="00F45968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B21791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</w:t>
      </w:r>
      <w:r w:rsidR="008D0384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</w:p>
    <w:p w14:paraId="0642A346" w14:textId="77777777" w:rsidR="00AE0F77" w:rsidRPr="004D6559" w:rsidRDefault="005B55B1" w:rsidP="00690256">
      <w:pPr>
        <w:widowControl w:val="0"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– </w:t>
      </w:r>
      <w:r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ab/>
        <w:t>korekta inflacyjna za rok 201</w:t>
      </w:r>
      <w:r w:rsidR="00296847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</w:t>
      </w:r>
      <w:r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dotycząca opłat terminalowych, pomniejszająca kwotę wpłaty lotniczej na rok </w:t>
      </w:r>
      <w:r w:rsidR="0035679F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202</w:t>
      </w:r>
      <w:r w:rsidR="00296847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1</w:t>
      </w:r>
      <w:r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, w wysokości </w:t>
      </w:r>
      <w:r w:rsidR="00ED2A1D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-3</w:t>
      </w:r>
      <w:r w:rsidR="009747C9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98</w:t>
      </w:r>
      <w:r w:rsidR="00ED2A1D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="009747C9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558</w:t>
      </w:r>
      <w:r w:rsidR="00ED2A1D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,</w:t>
      </w:r>
      <w:r w:rsidR="009747C9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28</w:t>
      </w:r>
      <w:r w:rsidR="00ED2A1D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="0035679F"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zł</w:t>
      </w:r>
      <w:r w:rsidRPr="004D655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14:paraId="457E78C4" w14:textId="77777777" w:rsidR="00BC618F" w:rsidRPr="00D845D8" w:rsidRDefault="00BC618F" w:rsidP="00690256">
      <w:pPr>
        <w:widowControl w:val="0"/>
        <w:autoSpaceDE w:val="0"/>
        <w:autoSpaceDN w:val="0"/>
        <w:adjustRightInd w:val="0"/>
        <w:spacing w:after="0" w:line="360" w:lineRule="auto"/>
        <w:ind w:left="709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9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5"/>
        <w:gridCol w:w="1863"/>
      </w:tblGrid>
      <w:tr w:rsidR="00F45968" w:rsidRPr="00C01057" w14:paraId="32C57B6E" w14:textId="77777777" w:rsidTr="004D6559">
        <w:trPr>
          <w:trHeight w:val="300"/>
        </w:trPr>
        <w:tc>
          <w:tcPr>
            <w:tcW w:w="9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14:paraId="1FEBC3DB" w14:textId="77777777" w:rsidR="00F45968" w:rsidRPr="006E3B3D" w:rsidRDefault="00876293" w:rsidP="006902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6E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Wpłata lotnicza </w:t>
            </w:r>
            <w:r w:rsidR="00ED788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</w:t>
            </w:r>
            <w:r w:rsidRPr="006E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  <w:r w:rsidR="0035679F" w:rsidRPr="006E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2968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352272" w:rsidRPr="006E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(wartości w </w:t>
            </w:r>
            <w:r w:rsidR="0035679F" w:rsidRPr="006E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zł</w:t>
            </w:r>
            <w:r w:rsidR="00352272" w:rsidRPr="006E3B3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F45968" w:rsidRPr="00C01057" w14:paraId="314154BC" w14:textId="77777777" w:rsidTr="004D6559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D00C1" w14:textId="77777777" w:rsidR="00F45968" w:rsidRPr="00C01057" w:rsidRDefault="00876293" w:rsidP="006902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01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Wydatki </w:t>
            </w:r>
            <w:r w:rsidR="004C47EC" w:rsidRPr="00C01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4C47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rzędu</w:t>
            </w:r>
            <w:r w:rsidR="00F45968" w:rsidRPr="00C01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związane z żegl</w:t>
            </w:r>
            <w:r w:rsidRPr="00C01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ugą powietrzną planowane </w:t>
            </w:r>
            <w:r w:rsidRPr="002B26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na </w:t>
            </w:r>
            <w:r w:rsidR="00D1481C" w:rsidRPr="002B26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rok </w:t>
            </w:r>
            <w:r w:rsidRPr="002B26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20</w:t>
            </w:r>
            <w:r w:rsidR="0035679F" w:rsidRPr="002B26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  <w:r w:rsidR="002968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F45968" w:rsidRPr="00C01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wg </w:t>
            </w:r>
            <w:r w:rsidRPr="00C0105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Planu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C521" w14:textId="77777777" w:rsidR="00F45968" w:rsidRPr="001F2218" w:rsidRDefault="00FE34C5" w:rsidP="006902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34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14 116 816,77</w:t>
            </w:r>
          </w:p>
        </w:tc>
      </w:tr>
      <w:tr w:rsidR="00F45968" w:rsidRPr="00C01057" w14:paraId="6B83D5D7" w14:textId="77777777" w:rsidTr="004D6559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C90A8" w14:textId="77777777" w:rsidR="00F45968" w:rsidRPr="002B2608" w:rsidRDefault="007826EE" w:rsidP="006902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2B26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Korekta inflacyjna 201</w:t>
            </w:r>
            <w:r w:rsidR="0029684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9</w:t>
            </w:r>
            <w:r w:rsidR="00F45968" w:rsidRPr="002B26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(koszty trasowe</w:t>
            </w:r>
            <w:r w:rsidR="00AE0F77" w:rsidRPr="002B26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oraz terminalowe</w:t>
            </w:r>
            <w:r w:rsidR="00F45968" w:rsidRPr="002B260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4723" w14:textId="77777777" w:rsidR="00F45968" w:rsidRPr="001F2218" w:rsidRDefault="00FE34C5" w:rsidP="006902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FE34C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-393 094,64</w:t>
            </w:r>
          </w:p>
        </w:tc>
      </w:tr>
      <w:tr w:rsidR="003C5BBC" w:rsidRPr="00C01057" w14:paraId="54072823" w14:textId="77777777" w:rsidTr="004D6559">
        <w:trPr>
          <w:trHeight w:val="30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F87ED" w14:textId="77777777" w:rsidR="003C5BBC" w:rsidRPr="002B2608" w:rsidRDefault="003C5BBC" w:rsidP="006902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2B260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Wpłata lotnicza ogółem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5B73" w14:textId="77777777" w:rsidR="003C5BBC" w:rsidRPr="001F2218" w:rsidRDefault="00FE34C5" w:rsidP="0069025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FE34C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13 723 722,13</w:t>
            </w:r>
          </w:p>
        </w:tc>
      </w:tr>
    </w:tbl>
    <w:p w14:paraId="319BACFE" w14:textId="77777777" w:rsidR="00F3358D" w:rsidRDefault="00F3358D" w:rsidP="0069025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4863CA" w14:textId="77777777" w:rsidR="00C01057" w:rsidRPr="007221F0" w:rsidRDefault="00F45968" w:rsidP="0069025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5112">
        <w:rPr>
          <w:rFonts w:ascii="Times New Roman" w:eastAsia="Times New Roman" w:hAnsi="Times New Roman"/>
          <w:sz w:val="24"/>
          <w:szCs w:val="24"/>
          <w:lang w:eastAsia="pl-PL"/>
        </w:rPr>
        <w:t xml:space="preserve">Kwota ta została skalkulowana zgodnie z przepisami rozporządzenia </w:t>
      </w:r>
      <w:r w:rsidR="00CA3262" w:rsidRPr="00D75112">
        <w:rPr>
          <w:rFonts w:ascii="Times New Roman" w:eastAsia="Times New Roman" w:hAnsi="Times New Roman"/>
          <w:sz w:val="24"/>
          <w:szCs w:val="24"/>
          <w:lang w:eastAsia="pl-PL"/>
        </w:rPr>
        <w:t>201</w:t>
      </w:r>
      <w:r w:rsidR="009225C4" w:rsidRPr="00D7511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CA3262" w:rsidRPr="00D75112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2B2608" w:rsidRPr="00D75112">
        <w:rPr>
          <w:rFonts w:ascii="Times New Roman" w:eastAsia="Times New Roman" w:hAnsi="Times New Roman"/>
          <w:sz w:val="24"/>
          <w:szCs w:val="24"/>
          <w:lang w:eastAsia="pl-PL"/>
        </w:rPr>
        <w:t>317/</w:t>
      </w:r>
      <w:r w:rsidR="00CA3262" w:rsidRPr="00D75112">
        <w:rPr>
          <w:rFonts w:ascii="Times New Roman" w:eastAsia="Times New Roman" w:hAnsi="Times New Roman"/>
          <w:sz w:val="24"/>
          <w:szCs w:val="24"/>
          <w:lang w:eastAsia="pl-PL"/>
        </w:rPr>
        <w:t xml:space="preserve">UE </w:t>
      </w:r>
      <w:r w:rsidR="002B2608" w:rsidRPr="00D75112">
        <w:rPr>
          <w:rFonts w:ascii="Times New Roman" w:eastAsia="Times New Roman" w:hAnsi="Times New Roman"/>
          <w:sz w:val="24"/>
          <w:szCs w:val="24"/>
          <w:lang w:eastAsia="pl-PL"/>
        </w:rPr>
        <w:t xml:space="preserve">oraz 391/2013/UE </w:t>
      </w:r>
      <w:r w:rsidR="008A4E9E" w:rsidRPr="00D75112">
        <w:rPr>
          <w:rFonts w:ascii="Times New Roman" w:eastAsia="Times New Roman" w:hAnsi="Times New Roman"/>
          <w:sz w:val="24"/>
          <w:szCs w:val="24"/>
          <w:lang w:eastAsia="pl-PL"/>
        </w:rPr>
        <w:t>i </w:t>
      </w:r>
      <w:r w:rsidRPr="00D75112">
        <w:rPr>
          <w:rFonts w:ascii="Times New Roman" w:eastAsia="Times New Roman" w:hAnsi="Times New Roman"/>
          <w:sz w:val="24"/>
          <w:szCs w:val="24"/>
          <w:lang w:eastAsia="pl-PL"/>
        </w:rPr>
        <w:t xml:space="preserve">odzwierciedla koszty </w:t>
      </w:r>
      <w:r w:rsidR="009225C4" w:rsidRPr="00D75112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planowane do poniesienia </w:t>
      </w:r>
      <w:r w:rsidRPr="00D75112">
        <w:rPr>
          <w:rFonts w:ascii="Times New Roman" w:eastAsia="Times New Roman" w:hAnsi="Times New Roman"/>
          <w:sz w:val="24"/>
          <w:szCs w:val="24"/>
          <w:lang w:eastAsia="pl-PL"/>
        </w:rPr>
        <w:t xml:space="preserve">przez Urząd w związku ze sprawowaniem </w:t>
      </w:r>
      <w:r w:rsidR="00E77583" w:rsidRPr="00D75112">
        <w:rPr>
          <w:rFonts w:ascii="Times New Roman" w:eastAsia="Times New Roman" w:hAnsi="Times New Roman"/>
          <w:sz w:val="24"/>
          <w:szCs w:val="24"/>
          <w:lang w:eastAsia="pl-PL"/>
        </w:rPr>
        <w:t xml:space="preserve">przez Prezesa Urzędu </w:t>
      </w:r>
      <w:r w:rsidRPr="00D75112">
        <w:rPr>
          <w:rFonts w:ascii="Times New Roman" w:eastAsia="Times New Roman" w:hAnsi="Times New Roman"/>
          <w:sz w:val="24"/>
          <w:szCs w:val="24"/>
          <w:lang w:eastAsia="pl-PL"/>
        </w:rPr>
        <w:t>nadzoru nad służbami żeglugi powietrznej</w:t>
      </w:r>
      <w:r w:rsidR="00FC5A7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5A7E" w:rsidRPr="00FC5A7E">
        <w:rPr>
          <w:rFonts w:ascii="Times New Roman" w:eastAsia="Times New Roman" w:hAnsi="Times New Roman"/>
          <w:sz w:val="24"/>
          <w:szCs w:val="24"/>
          <w:lang w:eastAsia="pl-PL"/>
        </w:rPr>
        <w:t>(ustalone zgodnie z rozporządzeniem 2019/317/UE) oraz korektę inflacyjną (skalkulowaną zgodnie</w:t>
      </w:r>
      <w:r w:rsidR="00FC5A7E">
        <w:rPr>
          <w:rFonts w:ascii="Times New Roman" w:eastAsia="Times New Roman" w:hAnsi="Times New Roman"/>
          <w:sz w:val="24"/>
          <w:szCs w:val="24"/>
          <w:lang w:eastAsia="pl-PL"/>
        </w:rPr>
        <w:t xml:space="preserve"> z rozporządzeniem 391/2013/UE)</w:t>
      </w:r>
      <w:r w:rsidR="00C01057" w:rsidRPr="007221F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0291C37" w14:textId="77777777" w:rsidR="00F45968" w:rsidRPr="00D845D8" w:rsidRDefault="00F45968" w:rsidP="006902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Kalkulacja </w:t>
      </w:r>
      <w:r w:rsidRPr="00D75112">
        <w:rPr>
          <w:rFonts w:ascii="Times New Roman" w:eastAsia="Times New Roman" w:hAnsi="Times New Roman"/>
          <w:sz w:val="24"/>
          <w:szCs w:val="24"/>
          <w:lang w:eastAsia="pl-PL"/>
        </w:rPr>
        <w:t xml:space="preserve">planowanych na </w:t>
      </w:r>
      <w:r w:rsidR="00FE34C5" w:rsidRPr="00D75112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FE34C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FE34C5" w:rsidRPr="00D751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75112">
        <w:rPr>
          <w:rFonts w:ascii="Times New Roman" w:eastAsia="Times New Roman" w:hAnsi="Times New Roman"/>
          <w:sz w:val="24"/>
          <w:szCs w:val="24"/>
          <w:lang w:eastAsia="pl-PL"/>
        </w:rPr>
        <w:t>rok kosztów związanych z żeglugą powietrzną (kosztów ustalonych)</w:t>
      </w:r>
      <w:r w:rsidR="00F4308F" w:rsidRPr="00D751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75112">
        <w:rPr>
          <w:rFonts w:ascii="Times New Roman" w:eastAsia="Times New Roman" w:hAnsi="Times New Roman"/>
          <w:sz w:val="24"/>
          <w:szCs w:val="24"/>
          <w:lang w:eastAsia="pl-PL"/>
        </w:rPr>
        <w:t>oparta została o zaangażowanie pracowników Urzędu w zadania związane ze służbami żeglugi powietrznej, z uwzględnieniem planowanego kształtow</w:t>
      </w:r>
      <w:r w:rsidR="005F66F0" w:rsidRPr="00D75112">
        <w:rPr>
          <w:rFonts w:ascii="Times New Roman" w:eastAsia="Times New Roman" w:hAnsi="Times New Roman"/>
          <w:sz w:val="24"/>
          <w:szCs w:val="24"/>
          <w:lang w:eastAsia="pl-PL"/>
        </w:rPr>
        <w:t xml:space="preserve">ania się w roku </w:t>
      </w:r>
      <w:r w:rsidR="005346CA" w:rsidRPr="00D75112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FE34C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346CA" w:rsidRPr="00D751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D75112">
        <w:rPr>
          <w:rFonts w:ascii="Times New Roman" w:eastAsia="Times New Roman" w:hAnsi="Times New Roman"/>
          <w:sz w:val="24"/>
          <w:szCs w:val="24"/>
          <w:lang w:eastAsia="pl-PL"/>
        </w:rPr>
        <w:t>czynników zewnętrznych w</w:t>
      </w:r>
      <w:r w:rsidRPr="00945759">
        <w:rPr>
          <w:rFonts w:ascii="Times New Roman" w:eastAsia="Times New Roman" w:hAnsi="Times New Roman"/>
          <w:sz w:val="24"/>
          <w:szCs w:val="24"/>
          <w:lang w:eastAsia="pl-PL"/>
        </w:rPr>
        <w:t>pływających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r w:rsidR="00067979" w:rsidRPr="007221F0">
        <w:rPr>
          <w:rFonts w:ascii="Times New Roman" w:eastAsia="Times New Roman" w:hAnsi="Times New Roman"/>
          <w:sz w:val="24"/>
          <w:szCs w:val="24"/>
          <w:lang w:eastAsia="pl-PL"/>
        </w:rPr>
        <w:t>nakład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 pracy pracowników Urzędu w obszarze służb żeglugi powietrznej (do czynników tych należą m.in. liczba instytucji zapewniających służby </w:t>
      </w:r>
      <w:r w:rsidRPr="005F7B16">
        <w:rPr>
          <w:rFonts w:ascii="Times New Roman" w:eastAsia="Times New Roman" w:hAnsi="Times New Roman"/>
          <w:sz w:val="24"/>
          <w:szCs w:val="24"/>
          <w:lang w:eastAsia="pl-PL"/>
        </w:rPr>
        <w:t>żeglugi powietrznej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, liczba organów zapewniających te służby, liczba licencjonowanego przez Prezesa Urzędu personelu kontroli ruchu lotniczego, liczba ośrodków szkolenia personelu służb ruchu lotniczego) oraz o ogólny budżet Urzędu. </w:t>
      </w:r>
      <w:r w:rsidR="00B45E0E" w:rsidRPr="007221F0">
        <w:rPr>
          <w:rFonts w:ascii="Times New Roman" w:eastAsia="Times New Roman" w:hAnsi="Times New Roman"/>
          <w:sz w:val="24"/>
          <w:szCs w:val="24"/>
          <w:lang w:eastAsia="pl-PL"/>
        </w:rPr>
        <w:t>Przyjęty w tym zakresie sposób określan</w:t>
      </w:r>
      <w:r w:rsidR="00067979" w:rsidRPr="007221F0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="00B45E0E"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a kosztów odpowiada stosowanemu w latach ubiegłych dla określenia wysokości wpłaty lotniczej. </w:t>
      </w:r>
      <w:r w:rsidR="009C3BA8" w:rsidRPr="007221F0">
        <w:rPr>
          <w:rFonts w:ascii="Times New Roman" w:eastAsia="Times New Roman" w:hAnsi="Times New Roman"/>
          <w:sz w:val="24"/>
          <w:szCs w:val="24"/>
          <w:lang w:eastAsia="pl-PL"/>
        </w:rPr>
        <w:t>Podstawą dla określenia udziału kosztów związanych ze służbami żeglugi powietrznej w ogólnym budżecie Urzędu był – analogicznie jak w latach ubiegłych – udzi</w:t>
      </w:r>
      <w:r w:rsidR="008A4E9E">
        <w:rPr>
          <w:rFonts w:ascii="Times New Roman" w:eastAsia="Times New Roman" w:hAnsi="Times New Roman"/>
          <w:sz w:val="24"/>
          <w:szCs w:val="24"/>
          <w:lang w:eastAsia="pl-PL"/>
        </w:rPr>
        <w:t>ał pracowników zaangażowanych w</w:t>
      </w:r>
      <w:r w:rsidR="00D7511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C3BA8" w:rsidRPr="007221F0">
        <w:rPr>
          <w:rFonts w:ascii="Times New Roman" w:eastAsia="Times New Roman" w:hAnsi="Times New Roman"/>
          <w:sz w:val="24"/>
          <w:szCs w:val="24"/>
          <w:lang w:eastAsia="pl-PL"/>
        </w:rPr>
        <w:t>realizację tych zadań w ogóle praco</w:t>
      </w:r>
      <w:r w:rsidR="009C3BA8" w:rsidRPr="009E6830">
        <w:rPr>
          <w:rFonts w:ascii="Times New Roman" w:eastAsia="Times New Roman" w:hAnsi="Times New Roman"/>
          <w:sz w:val="24"/>
          <w:szCs w:val="24"/>
          <w:lang w:eastAsia="pl-PL"/>
        </w:rPr>
        <w:t>wników w komórkach merytorycznych Urzędu</w:t>
      </w:r>
      <w:r w:rsidR="007B38F5" w:rsidRPr="009E6830">
        <w:rPr>
          <w:rFonts w:ascii="Times New Roman" w:eastAsia="Times New Roman" w:hAnsi="Times New Roman"/>
          <w:sz w:val="24"/>
          <w:szCs w:val="24"/>
          <w:lang w:eastAsia="pl-PL"/>
        </w:rPr>
        <w:t xml:space="preserve"> (mierzony etatami)</w:t>
      </w:r>
      <w:r w:rsidR="009C3BA8" w:rsidRPr="00FF6EA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B55B1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kosztów związanych ze służbami żeglugi powietrznej uwzględnione są wszystkie zadania realizowane przez Prezesa Urzędu w związku z tymi służbami (wynikające z odpowiednich przepisów prawa Unii Europejskiej, międzynarodowych i krajowych), jak również odpowiednia część kosztów procesów wspomagających (koszty pośrednie). </w:t>
      </w:r>
      <w:r w:rsidR="005B55B1" w:rsidRPr="000D01A7">
        <w:rPr>
          <w:rFonts w:ascii="Times New Roman" w:eastAsia="Times New Roman" w:hAnsi="Times New Roman"/>
          <w:sz w:val="24"/>
          <w:szCs w:val="24"/>
          <w:lang w:eastAsia="pl-PL"/>
        </w:rPr>
        <w:t xml:space="preserve">Określone w treści niniejszego rozporządzenia </w:t>
      </w:r>
      <w:r w:rsidR="005B55B1" w:rsidRPr="000D01A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koszty Urzędu planowane na rok </w:t>
      </w:r>
      <w:r w:rsidR="005346CA" w:rsidRPr="000D01A7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5F247C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346CA" w:rsidRPr="000D01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5B55B1" w:rsidRPr="000D01A7"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 kwocie kosztów </w:t>
      </w:r>
      <w:r w:rsidR="009225C4" w:rsidRPr="000D01A7">
        <w:rPr>
          <w:rFonts w:ascii="Times New Roman" w:eastAsia="Times New Roman" w:hAnsi="Times New Roman"/>
          <w:sz w:val="24"/>
          <w:szCs w:val="24"/>
          <w:lang w:eastAsia="pl-PL"/>
        </w:rPr>
        <w:t>skalkulowanych przez Urząd w ramach prac nad Planem</w:t>
      </w:r>
      <w:r w:rsidR="009B629C" w:rsidRPr="000D01A7">
        <w:rPr>
          <w:rFonts w:ascii="Times New Roman" w:eastAsia="Times New Roman" w:hAnsi="Times New Roman"/>
          <w:sz w:val="24"/>
          <w:szCs w:val="24"/>
          <w:lang w:eastAsia="pl-PL"/>
        </w:rPr>
        <w:t xml:space="preserve"> i </w:t>
      </w:r>
      <w:r w:rsidR="005F247C">
        <w:rPr>
          <w:rFonts w:ascii="Times New Roman" w:eastAsia="Times New Roman" w:hAnsi="Times New Roman"/>
          <w:sz w:val="24"/>
          <w:szCs w:val="24"/>
          <w:lang w:eastAsia="pl-PL"/>
        </w:rPr>
        <w:t>ujętych</w:t>
      </w:r>
      <w:r w:rsidR="009B629C" w:rsidRPr="000D01A7">
        <w:rPr>
          <w:rFonts w:ascii="Times New Roman" w:eastAsia="Times New Roman" w:hAnsi="Times New Roman"/>
          <w:sz w:val="24"/>
          <w:szCs w:val="24"/>
          <w:lang w:eastAsia="pl-PL"/>
        </w:rPr>
        <w:t xml:space="preserve"> w przedmiotowym Planie</w:t>
      </w:r>
      <w:r w:rsidR="009225C4" w:rsidRPr="000D01A7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5B55B1" w:rsidRPr="000D01A7">
        <w:rPr>
          <w:rFonts w:ascii="Times New Roman" w:eastAsia="Times New Roman" w:hAnsi="Times New Roman"/>
          <w:sz w:val="24"/>
          <w:szCs w:val="24"/>
          <w:lang w:eastAsia="pl-PL"/>
        </w:rPr>
        <w:t>Koszt</w:t>
      </w:r>
      <w:r w:rsidR="005B55B1">
        <w:rPr>
          <w:rFonts w:ascii="Times New Roman" w:eastAsia="Times New Roman" w:hAnsi="Times New Roman"/>
          <w:sz w:val="24"/>
          <w:szCs w:val="24"/>
          <w:lang w:eastAsia="pl-PL"/>
        </w:rPr>
        <w:t>y te obejmują koszty związane ze służbami trasowymi i terminalowymi.</w:t>
      </w:r>
    </w:p>
    <w:p w14:paraId="33072BE2" w14:textId="516792C1" w:rsidR="003F3C4D" w:rsidRPr="000D01A7" w:rsidRDefault="000910FC" w:rsidP="00E55A1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3F3C4D" w:rsidRPr="003F3C4D">
        <w:rPr>
          <w:rFonts w:ascii="Times New Roman" w:eastAsia="Times New Roman" w:hAnsi="Times New Roman"/>
          <w:sz w:val="24"/>
          <w:szCs w:val="24"/>
          <w:lang w:eastAsia="pl-PL"/>
        </w:rPr>
        <w:t>Korekta inflacyjna wpływająca na wartość wpłaty lotniczej w roku 2021 wynika z brzmienia art. 7 ust. 1 akapit trzeci rozporządzenia nr 391/2013/UE, zgodnie z którym koszty ustalone uwzględnione w podstawach kosztowych opłat trasowych i terminalowych, wyrażone w wartościach nominalnych za rok n, koryguje się w oparciu o różnicę wartości procentowej między rzeczywistym wskaźnikiem inflacji (odnotowanym przez Komisję Europejską w zharmonizowanym indeksie cen konsumpcyjnych Eurostatu opublikowanym w kwietniu roku n) a prognozowanym wskaźnikiem inflacji na rok n (określonym w planie skuteczności działania) oraz uwzględnia przez korektę stawki jednostkowej obliczonej na rok n+2</w:t>
      </w:r>
      <w:r w:rsidR="003F3C4D" w:rsidRPr="00E55A1B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4</w:t>
      </w:r>
      <w:r w:rsidR="0081117E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3F3C4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52B42F0" w14:textId="77777777" w:rsidR="00306540" w:rsidRDefault="001F3A15" w:rsidP="006902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Planowane wartości inflacji wyniosły odpowiednio</w:t>
      </w:r>
      <w:r w:rsidR="00C01057" w:rsidRPr="00D845D8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C01057" w:rsidRPr="004D6559">
        <w:rPr>
          <w:rFonts w:ascii="Times New Roman" w:eastAsia="Times New Roman" w:hAnsi="Times New Roman"/>
          <w:b/>
          <w:sz w:val="24"/>
          <w:szCs w:val="24"/>
          <w:lang w:eastAsia="pl-PL"/>
        </w:rPr>
        <w:t>1,458%</w:t>
      </w:r>
      <w:r w:rsidR="00C01057" w:rsidRPr="00D845D8">
        <w:rPr>
          <w:rFonts w:ascii="Times New Roman" w:eastAsia="Times New Roman" w:hAnsi="Times New Roman"/>
          <w:sz w:val="24"/>
          <w:szCs w:val="24"/>
          <w:lang w:eastAsia="pl-PL"/>
        </w:rPr>
        <w:t xml:space="preserve"> dla roku 2014</w:t>
      </w:r>
      <w:r w:rsidR="00BB5A0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1057" w:rsidRPr="00D845D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01057" w:rsidRPr="004D6559">
        <w:rPr>
          <w:rFonts w:ascii="Times New Roman" w:eastAsia="Times New Roman" w:hAnsi="Times New Roman"/>
          <w:b/>
          <w:sz w:val="24"/>
          <w:szCs w:val="24"/>
          <w:lang w:eastAsia="pl-PL"/>
        </w:rPr>
        <w:t>2,375%</w:t>
      </w:r>
      <w:r w:rsidR="00C01057" w:rsidRPr="00D845D8">
        <w:rPr>
          <w:rFonts w:ascii="Times New Roman" w:eastAsia="Times New Roman" w:hAnsi="Times New Roman"/>
          <w:sz w:val="24"/>
          <w:szCs w:val="24"/>
          <w:lang w:eastAsia="pl-PL"/>
        </w:rPr>
        <w:t xml:space="preserve"> dla roku </w:t>
      </w:r>
      <w:r w:rsidR="00C01057" w:rsidRPr="000D01A7">
        <w:rPr>
          <w:rFonts w:ascii="Times New Roman" w:eastAsia="Times New Roman" w:hAnsi="Times New Roman"/>
          <w:sz w:val="24"/>
          <w:szCs w:val="24"/>
          <w:lang w:eastAsia="pl-PL"/>
        </w:rPr>
        <w:t>2015</w:t>
      </w:r>
      <w:r w:rsidR="00306540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r w:rsidR="00BB5A05" w:rsidRPr="000D01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B5A05" w:rsidRPr="004D6559">
        <w:rPr>
          <w:rFonts w:ascii="Times New Roman" w:eastAsia="Times New Roman" w:hAnsi="Times New Roman"/>
          <w:b/>
          <w:sz w:val="24"/>
          <w:szCs w:val="24"/>
          <w:lang w:eastAsia="pl-PL"/>
        </w:rPr>
        <w:t>2,500%</w:t>
      </w:r>
      <w:r w:rsidR="00BB5A05" w:rsidRPr="000D01A7">
        <w:rPr>
          <w:rFonts w:ascii="Times New Roman" w:eastAsia="Times New Roman" w:hAnsi="Times New Roman"/>
          <w:sz w:val="24"/>
          <w:szCs w:val="24"/>
          <w:lang w:eastAsia="pl-PL"/>
        </w:rPr>
        <w:t xml:space="preserve"> dla roku 2016</w:t>
      </w:r>
      <w:r w:rsidR="000D01A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D6559">
        <w:rPr>
          <w:rFonts w:ascii="Times New Roman" w:eastAsia="Times New Roman" w:hAnsi="Times New Roman"/>
          <w:b/>
          <w:sz w:val="24"/>
          <w:szCs w:val="24"/>
          <w:lang w:eastAsia="pl-PL"/>
        </w:rPr>
        <w:t>2,500%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roku 2017</w:t>
      </w:r>
      <w:r w:rsidR="009E75E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D6559">
        <w:rPr>
          <w:rFonts w:ascii="Times New Roman" w:eastAsia="Times New Roman" w:hAnsi="Times New Roman"/>
          <w:b/>
          <w:sz w:val="24"/>
          <w:szCs w:val="24"/>
          <w:lang w:eastAsia="pl-PL"/>
        </w:rPr>
        <w:t>2,500%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roku 2018</w:t>
      </w:r>
      <w:r w:rsidR="009E75EC"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="00E17F5E" w:rsidRPr="004D6559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9E75EC" w:rsidRPr="004D6559">
        <w:rPr>
          <w:rFonts w:ascii="Times New Roman" w:eastAsia="Times New Roman" w:hAnsi="Times New Roman"/>
          <w:b/>
          <w:sz w:val="24"/>
          <w:szCs w:val="24"/>
          <w:lang w:eastAsia="pl-PL"/>
        </w:rPr>
        <w:t>,500%</w:t>
      </w:r>
      <w:r w:rsidR="009E75EC">
        <w:rPr>
          <w:rFonts w:ascii="Times New Roman" w:eastAsia="Times New Roman" w:hAnsi="Times New Roman"/>
          <w:sz w:val="24"/>
          <w:szCs w:val="24"/>
          <w:lang w:eastAsia="pl-PL"/>
        </w:rPr>
        <w:t xml:space="preserve"> dla roku 2019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(dla kosztów terminalowych) i -</w:t>
      </w:r>
      <w:r w:rsidRPr="004D6559">
        <w:rPr>
          <w:rFonts w:ascii="Times New Roman" w:eastAsia="Times New Roman" w:hAnsi="Times New Roman"/>
          <w:b/>
          <w:sz w:val="24"/>
          <w:szCs w:val="24"/>
          <w:lang w:eastAsia="pl-PL"/>
        </w:rPr>
        <w:t>0,633%</w:t>
      </w:r>
      <w:r w:rsidR="00C402BB" w:rsidRPr="00C53F50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3"/>
      </w:r>
      <w:r w:rsidR="00C53F50" w:rsidRPr="00C53F5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Pr="00C53F50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dla roku 2016, </w:t>
      </w:r>
      <w:r w:rsidRPr="004D6559">
        <w:rPr>
          <w:rFonts w:ascii="Times New Roman" w:eastAsia="Times New Roman" w:hAnsi="Times New Roman"/>
          <w:b/>
          <w:sz w:val="24"/>
          <w:szCs w:val="24"/>
          <w:lang w:eastAsia="pl-PL"/>
        </w:rPr>
        <w:t>1,053%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roku 2017</w:t>
      </w:r>
      <w:r w:rsidR="009E75EC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4D6559">
        <w:rPr>
          <w:rFonts w:ascii="Times New Roman" w:eastAsia="Times New Roman" w:hAnsi="Times New Roman"/>
          <w:b/>
          <w:sz w:val="24"/>
          <w:szCs w:val="24"/>
          <w:lang w:eastAsia="pl-PL"/>
        </w:rPr>
        <w:t>1,860%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roku 2018 </w:t>
      </w:r>
      <w:r w:rsidR="009E75EC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="009E75EC" w:rsidRPr="004D6559">
        <w:rPr>
          <w:rFonts w:ascii="Times New Roman" w:eastAsia="Times New Roman" w:hAnsi="Times New Roman"/>
          <w:b/>
          <w:sz w:val="24"/>
          <w:szCs w:val="24"/>
          <w:lang w:eastAsia="pl-PL"/>
        </w:rPr>
        <w:t>2,350</w:t>
      </w:r>
      <w:r w:rsidR="008E4B46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9E75EC">
        <w:rPr>
          <w:rFonts w:ascii="Times New Roman" w:eastAsia="Times New Roman" w:hAnsi="Times New Roman"/>
          <w:sz w:val="24"/>
          <w:szCs w:val="24"/>
          <w:lang w:eastAsia="pl-PL"/>
        </w:rPr>
        <w:t xml:space="preserve"> dla roku 2019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(dla kosztów trasowych)</w:t>
      </w:r>
      <w:r w:rsidR="00C402BB" w:rsidRPr="000D01A7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4"/>
      </w:r>
      <w:r w:rsidR="00C53F50" w:rsidRPr="001E0581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)</w:t>
      </w:r>
      <w:r w:rsidR="00306540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C01057" w:rsidRPr="000D01A7">
        <w:rPr>
          <w:rFonts w:ascii="Times New Roman" w:eastAsia="Times New Roman" w:hAnsi="Times New Roman"/>
          <w:sz w:val="24"/>
          <w:szCs w:val="24"/>
          <w:lang w:eastAsia="pl-PL"/>
        </w:rPr>
        <w:t xml:space="preserve"> podczas gdy rzeczywista inflacja wg danych Eurostat</w:t>
      </w:r>
      <w:r w:rsidR="00DA1DCD" w:rsidRPr="000D01A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01057" w:rsidRPr="000D01A7">
        <w:rPr>
          <w:rFonts w:ascii="Times New Roman" w:eastAsia="Times New Roman" w:hAnsi="Times New Roman"/>
          <w:sz w:val="24"/>
          <w:szCs w:val="24"/>
          <w:lang w:eastAsia="pl-PL"/>
        </w:rPr>
        <w:t>wyniosła w tym okresie</w:t>
      </w:r>
      <w:r w:rsidR="008E4B46">
        <w:rPr>
          <w:rFonts w:ascii="Times New Roman" w:eastAsia="Times New Roman" w:hAnsi="Times New Roman"/>
          <w:sz w:val="24"/>
          <w:szCs w:val="24"/>
          <w:lang w:eastAsia="pl-PL"/>
        </w:rPr>
        <w:t xml:space="preserve"> (tj. w latach 2014-2019)</w:t>
      </w:r>
      <w:r w:rsidR="00C01057" w:rsidRPr="000D01A7">
        <w:rPr>
          <w:rFonts w:ascii="Times New Roman" w:eastAsia="Times New Roman" w:hAnsi="Times New Roman"/>
          <w:sz w:val="24"/>
          <w:szCs w:val="24"/>
          <w:lang w:eastAsia="pl-PL"/>
        </w:rPr>
        <w:t xml:space="preserve"> odpowiednio 0,1%</w:t>
      </w:r>
      <w:r w:rsidR="00BB5A05" w:rsidRPr="000D01A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C01057" w:rsidRPr="000D01A7">
        <w:rPr>
          <w:rFonts w:ascii="Times New Roman" w:eastAsia="Times New Roman" w:hAnsi="Times New Roman"/>
          <w:sz w:val="24"/>
          <w:szCs w:val="24"/>
          <w:lang w:eastAsia="pl-PL"/>
        </w:rPr>
        <w:t>-0,7%</w:t>
      </w:r>
      <w:r w:rsidR="008A4E9E" w:rsidRPr="000D01A7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BB5A05" w:rsidRPr="000D01A7">
        <w:rPr>
          <w:rFonts w:ascii="Times New Roman" w:eastAsia="Times New Roman" w:hAnsi="Times New Roman"/>
          <w:sz w:val="24"/>
          <w:szCs w:val="24"/>
          <w:lang w:eastAsia="pl-PL"/>
        </w:rPr>
        <w:t>-0,2%</w:t>
      </w:r>
      <w:r w:rsidR="005915E5" w:rsidRPr="000D01A7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4E9E" w:rsidRPr="000D01A7">
        <w:rPr>
          <w:rFonts w:ascii="Times New Roman" w:eastAsia="Times New Roman" w:hAnsi="Times New Roman"/>
          <w:sz w:val="24"/>
          <w:szCs w:val="24"/>
          <w:lang w:eastAsia="pl-PL"/>
        </w:rPr>
        <w:t xml:space="preserve"> 1,6%</w:t>
      </w:r>
      <w:r w:rsidR="009E75E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E425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62C55" w:rsidRPr="000D01A7">
        <w:rPr>
          <w:rFonts w:ascii="Times New Roman" w:eastAsia="Times New Roman" w:hAnsi="Times New Roman"/>
          <w:sz w:val="24"/>
          <w:szCs w:val="24"/>
          <w:lang w:eastAsia="pl-PL"/>
        </w:rPr>
        <w:t>1,2</w:t>
      </w:r>
      <w:r w:rsidR="005915E5" w:rsidRPr="000D01A7">
        <w:rPr>
          <w:rFonts w:ascii="Times New Roman" w:eastAsia="Times New Roman" w:hAnsi="Times New Roman"/>
          <w:sz w:val="24"/>
          <w:szCs w:val="24"/>
          <w:lang w:eastAsia="pl-PL"/>
        </w:rPr>
        <w:t>%</w:t>
      </w:r>
      <w:r w:rsidR="009E75EC">
        <w:rPr>
          <w:rFonts w:ascii="Times New Roman" w:eastAsia="Times New Roman" w:hAnsi="Times New Roman"/>
          <w:sz w:val="24"/>
          <w:szCs w:val="24"/>
          <w:lang w:eastAsia="pl-PL"/>
        </w:rPr>
        <w:t xml:space="preserve"> oraz 2,1%</w:t>
      </w:r>
      <w:r w:rsidR="00095F67" w:rsidRPr="000D01A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7B3AFC0" w14:textId="77777777" w:rsidR="006E1880" w:rsidRPr="007221F0" w:rsidRDefault="00095F67" w:rsidP="006902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D01A7">
        <w:rPr>
          <w:rFonts w:ascii="Times New Roman" w:eastAsia="Times New Roman" w:hAnsi="Times New Roman"/>
          <w:sz w:val="24"/>
          <w:szCs w:val="24"/>
          <w:lang w:eastAsia="pl-PL"/>
        </w:rPr>
        <w:t>Powyż</w:t>
      </w:r>
      <w:r w:rsidR="00306540">
        <w:rPr>
          <w:rFonts w:ascii="Times New Roman" w:eastAsia="Times New Roman" w:hAnsi="Times New Roman"/>
          <w:sz w:val="24"/>
          <w:szCs w:val="24"/>
          <w:lang w:eastAsia="pl-PL"/>
        </w:rPr>
        <w:t xml:space="preserve">sza różnica w </w:t>
      </w:r>
      <w:r w:rsidR="00C01057"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poziomach inflacji skutkuje powstaniem korekty </w:t>
      </w:r>
      <w:r w:rsidR="00C01057" w:rsidRPr="00BC283A">
        <w:rPr>
          <w:rFonts w:ascii="Times New Roman" w:eastAsia="Times New Roman" w:hAnsi="Times New Roman"/>
          <w:sz w:val="24"/>
          <w:szCs w:val="24"/>
          <w:lang w:eastAsia="pl-PL"/>
        </w:rPr>
        <w:t>pomniejszającej</w:t>
      </w:r>
      <w:r w:rsidR="00C01057"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 wysokość wpłaty lotniczej na </w:t>
      </w:r>
      <w:r w:rsidR="00C01057" w:rsidRPr="00BF223F">
        <w:rPr>
          <w:rFonts w:ascii="Times New Roman" w:eastAsia="Times New Roman" w:hAnsi="Times New Roman"/>
          <w:sz w:val="24"/>
          <w:szCs w:val="24"/>
          <w:lang w:eastAsia="pl-PL"/>
        </w:rPr>
        <w:t xml:space="preserve">rok </w:t>
      </w:r>
      <w:r w:rsidR="004B0EFB" w:rsidRPr="00BF223F">
        <w:rPr>
          <w:rFonts w:ascii="Times New Roman" w:eastAsia="Times New Roman" w:hAnsi="Times New Roman"/>
          <w:sz w:val="24"/>
          <w:szCs w:val="24"/>
          <w:lang w:eastAsia="pl-PL"/>
        </w:rPr>
        <w:t>202</w:t>
      </w:r>
      <w:r w:rsidR="00E17F5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01057" w:rsidRPr="00BF223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C01057"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 Od roku 2015 korekta inflacyjna liczona jest zarówno w odniesieniu do opłat trasowych jak i opłat terminalowych</w:t>
      </w:r>
      <w:r w:rsidR="000C29CD">
        <w:rPr>
          <w:rFonts w:ascii="Times New Roman" w:eastAsia="Times New Roman" w:hAnsi="Times New Roman"/>
          <w:sz w:val="24"/>
          <w:szCs w:val="24"/>
          <w:lang w:eastAsia="pl-PL"/>
        </w:rPr>
        <w:t>. W</w:t>
      </w:r>
      <w:r w:rsidR="00BC3DA0">
        <w:rPr>
          <w:rFonts w:ascii="Times New Roman" w:eastAsia="Times New Roman" w:hAnsi="Times New Roman"/>
          <w:sz w:val="24"/>
          <w:szCs w:val="24"/>
          <w:lang w:eastAsia="pl-PL"/>
        </w:rPr>
        <w:t xml:space="preserve">cześniej </w:t>
      </w:r>
      <w:r w:rsidR="000C29CD">
        <w:rPr>
          <w:rFonts w:ascii="Times New Roman" w:eastAsia="Times New Roman" w:hAnsi="Times New Roman"/>
          <w:sz w:val="24"/>
          <w:szCs w:val="24"/>
          <w:lang w:eastAsia="pl-PL"/>
        </w:rPr>
        <w:t xml:space="preserve">korekta ta </w:t>
      </w:r>
      <w:r w:rsidR="00BC3DA0">
        <w:rPr>
          <w:rFonts w:ascii="Times New Roman" w:eastAsia="Times New Roman" w:hAnsi="Times New Roman"/>
          <w:sz w:val="24"/>
          <w:szCs w:val="24"/>
          <w:lang w:eastAsia="pl-PL"/>
        </w:rPr>
        <w:t>liczona była tylko w odniesieniu do opłat trasowych</w:t>
      </w:r>
      <w:r w:rsidR="00C01057" w:rsidRPr="007221F0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185173"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236A4C4B" w14:textId="5D011FDD" w:rsidR="00C01057" w:rsidRPr="00A827FF" w:rsidRDefault="00965E35" w:rsidP="00346EFF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>Koszty</w:t>
      </w:r>
      <w:r w:rsidR="006E1880"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 Prezesa Urzędu 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>związane z żeglugą powietrzną (koszty ustalone</w:t>
      </w:r>
      <w:r w:rsidR="006E1880"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) 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nie są powiązane ze </w:t>
      </w:r>
      <w:r w:rsidR="006E1880" w:rsidRPr="007221F0">
        <w:rPr>
          <w:rFonts w:ascii="Times New Roman" w:eastAsia="Times New Roman" w:hAnsi="Times New Roman"/>
          <w:sz w:val="24"/>
          <w:szCs w:val="24"/>
          <w:lang w:eastAsia="pl-PL"/>
        </w:rPr>
        <w:t>zmian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>ami</w:t>
      </w:r>
      <w:r w:rsidR="006E1880"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>wielkościach ruchu lotniczego. Jednocześnie w związku z faktem, że wpłata lotnicza w roku n (oparta na kosztach ustalonych Urzędu) jest uiszczana w roku n przez instytucję zapewniając</w:t>
      </w:r>
      <w:r w:rsidR="00A3169B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 służby żeglugi powie</w:t>
      </w:r>
      <w:r w:rsidR="0036177A">
        <w:rPr>
          <w:rFonts w:ascii="Times New Roman" w:eastAsia="Times New Roman" w:hAnsi="Times New Roman"/>
          <w:sz w:val="24"/>
          <w:szCs w:val="24"/>
          <w:lang w:eastAsia="pl-PL"/>
        </w:rPr>
        <w:t>trznej w wysokości określonej w 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>rozporządzeniu niezależnie od faktycznej wielkości ruchu lotniczego w tymże roku n</w:t>
      </w:r>
      <w:r w:rsidR="006E1880" w:rsidRPr="007221F0">
        <w:rPr>
          <w:rFonts w:ascii="Times New Roman" w:eastAsia="Times New Roman" w:hAnsi="Times New Roman"/>
          <w:sz w:val="24"/>
          <w:szCs w:val="24"/>
          <w:lang w:eastAsia="pl-PL"/>
        </w:rPr>
        <w:t>, w</w:t>
      </w:r>
      <w:r w:rsidR="00185173" w:rsidRPr="007221F0">
        <w:rPr>
          <w:rFonts w:ascii="Times New Roman" w:eastAsia="Times New Roman" w:hAnsi="Times New Roman"/>
          <w:sz w:val="24"/>
          <w:szCs w:val="24"/>
          <w:lang w:eastAsia="pl-PL"/>
        </w:rPr>
        <w:t>płata lotnicza</w:t>
      </w:r>
      <w:r w:rsidR="006E1880"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 na rok </w:t>
      </w:r>
      <w:r w:rsidRPr="007221F0">
        <w:rPr>
          <w:rFonts w:ascii="Times New Roman" w:eastAsia="Times New Roman" w:hAnsi="Times New Roman"/>
          <w:sz w:val="24"/>
          <w:szCs w:val="24"/>
          <w:lang w:eastAsia="pl-PL"/>
        </w:rPr>
        <w:t xml:space="preserve">n+2 (w </w:t>
      </w:r>
      <w:r w:rsidRPr="00306540">
        <w:rPr>
          <w:rFonts w:ascii="Times New Roman" w:eastAsia="Times New Roman" w:hAnsi="Times New Roman"/>
          <w:sz w:val="24"/>
          <w:szCs w:val="24"/>
          <w:lang w:eastAsia="pl-PL"/>
        </w:rPr>
        <w:t xml:space="preserve">omawianym przypadku na </w:t>
      </w:r>
      <w:r w:rsidRPr="00A827FF">
        <w:rPr>
          <w:rFonts w:ascii="Times New Roman" w:eastAsia="Times New Roman" w:hAnsi="Times New Roman"/>
          <w:sz w:val="24"/>
          <w:szCs w:val="24"/>
          <w:lang w:eastAsia="pl-PL"/>
        </w:rPr>
        <w:t xml:space="preserve">rok </w:t>
      </w:r>
      <w:r w:rsidR="000F0E40" w:rsidRPr="00A827FF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CD53DE" w:rsidRPr="00A827FF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17F5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A827FF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36177A" w:rsidRPr="00A827FF">
        <w:rPr>
          <w:rFonts w:ascii="Times New Roman" w:eastAsia="Times New Roman" w:hAnsi="Times New Roman"/>
          <w:sz w:val="24"/>
          <w:szCs w:val="24"/>
          <w:lang w:eastAsia="pl-PL"/>
        </w:rPr>
        <w:t xml:space="preserve"> nie jest korygowana o </w:t>
      </w:r>
      <w:r w:rsidR="00185173" w:rsidRPr="00A827FF">
        <w:rPr>
          <w:rFonts w:ascii="Times New Roman" w:eastAsia="Times New Roman" w:hAnsi="Times New Roman"/>
          <w:sz w:val="24"/>
          <w:szCs w:val="24"/>
          <w:lang w:eastAsia="pl-PL"/>
        </w:rPr>
        <w:t>wartość kwot odzyskanych z nadwyżką lub niecałkowicie w wyniku wahań natężenia ruchu</w:t>
      </w:r>
      <w:r w:rsidR="006E1880" w:rsidRPr="00A827FF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dotyczących roku </w:t>
      </w:r>
      <w:r w:rsidRPr="00A827FF">
        <w:rPr>
          <w:rFonts w:ascii="Times New Roman" w:eastAsia="Times New Roman" w:hAnsi="Times New Roman"/>
          <w:sz w:val="24"/>
          <w:szCs w:val="24"/>
          <w:lang w:eastAsia="pl-PL"/>
        </w:rPr>
        <w:t xml:space="preserve">n (w omawianym przypadku roku </w:t>
      </w:r>
      <w:r w:rsidR="006E1880" w:rsidRPr="00A827FF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CD53DE" w:rsidRPr="00A827FF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722DAA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5B55B1" w:rsidRPr="00A827FF">
        <w:rPr>
          <w:rFonts w:ascii="Times New Roman" w:eastAsia="Times New Roman" w:hAnsi="Times New Roman"/>
          <w:sz w:val="24"/>
          <w:szCs w:val="24"/>
          <w:lang w:eastAsia="pl-PL"/>
        </w:rPr>
        <w:t xml:space="preserve">). </w:t>
      </w:r>
      <w:r w:rsidR="005B55B1" w:rsidRPr="00E55A1B">
        <w:rPr>
          <w:rFonts w:ascii="Times New Roman" w:eastAsia="Times New Roman" w:hAnsi="Times New Roman"/>
          <w:sz w:val="24"/>
          <w:szCs w:val="24"/>
          <w:lang w:eastAsia="pl-PL"/>
        </w:rPr>
        <w:t xml:space="preserve">Kwoty odzyskane z nadwyżką lub </w:t>
      </w:r>
      <w:r w:rsidR="005B55B1" w:rsidRPr="00E55A1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niecałkowicie w wyniku wahań natężenia ruchu, o których mowa w </w:t>
      </w:r>
      <w:r w:rsidR="00306540" w:rsidRPr="00E55A1B">
        <w:rPr>
          <w:rFonts w:ascii="Times New Roman" w:eastAsia="Times New Roman" w:hAnsi="Times New Roman"/>
          <w:sz w:val="24"/>
          <w:szCs w:val="24"/>
          <w:lang w:eastAsia="pl-PL"/>
        </w:rPr>
        <w:t>załączniku IV pkt 2.2 ppkt (</w:t>
      </w:r>
      <w:r w:rsidR="00F3358D" w:rsidRPr="00E55A1B">
        <w:rPr>
          <w:rFonts w:ascii="Times New Roman" w:eastAsia="Times New Roman" w:hAnsi="Times New Roman"/>
          <w:sz w:val="24"/>
          <w:szCs w:val="24"/>
          <w:lang w:eastAsia="pl-PL"/>
        </w:rPr>
        <w:t>viii) oraz załączniku V pkt 2.2</w:t>
      </w:r>
      <w:r w:rsidR="00306540" w:rsidRPr="00E55A1B">
        <w:rPr>
          <w:rFonts w:ascii="Times New Roman" w:eastAsia="Times New Roman" w:hAnsi="Times New Roman"/>
          <w:sz w:val="24"/>
          <w:szCs w:val="24"/>
          <w:lang w:eastAsia="pl-PL"/>
        </w:rPr>
        <w:t xml:space="preserve"> ppkt (viii) rozporządzenia nr 391/2013/UE</w:t>
      </w:r>
      <w:r w:rsidR="005B55B1" w:rsidRPr="00E55A1B">
        <w:rPr>
          <w:rFonts w:ascii="Times New Roman" w:eastAsia="Times New Roman" w:hAnsi="Times New Roman"/>
          <w:sz w:val="24"/>
          <w:szCs w:val="24"/>
          <w:lang w:eastAsia="pl-PL"/>
        </w:rPr>
        <w:t>, stanowiące jedną z korekt do obliczenia stawek jednostkowych opłat nawigacyjnych na dany rok (zasada ujmowania korekt dotycząc</w:t>
      </w:r>
      <w:r w:rsidR="00095F67" w:rsidRPr="00E55A1B">
        <w:rPr>
          <w:rFonts w:ascii="Times New Roman" w:eastAsia="Times New Roman" w:hAnsi="Times New Roman"/>
          <w:sz w:val="24"/>
          <w:szCs w:val="24"/>
          <w:lang w:eastAsia="pl-PL"/>
        </w:rPr>
        <w:t>ych rozliczenia roku n (rok 201</w:t>
      </w:r>
      <w:r w:rsidR="00E17F5E" w:rsidRPr="00E55A1B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="005B55B1" w:rsidRPr="00E55A1B">
        <w:rPr>
          <w:rFonts w:ascii="Times New Roman" w:eastAsia="Times New Roman" w:hAnsi="Times New Roman"/>
          <w:sz w:val="24"/>
          <w:szCs w:val="24"/>
          <w:lang w:eastAsia="pl-PL"/>
        </w:rPr>
        <w:t xml:space="preserve">) w </w:t>
      </w:r>
      <w:r w:rsidR="000F0E40" w:rsidRPr="00E55A1B">
        <w:rPr>
          <w:rFonts w:ascii="Times New Roman" w:eastAsia="Times New Roman" w:hAnsi="Times New Roman"/>
          <w:sz w:val="24"/>
          <w:szCs w:val="24"/>
          <w:lang w:eastAsia="pl-PL"/>
        </w:rPr>
        <w:t>roku n+2 (rok 20</w:t>
      </w:r>
      <w:r w:rsidR="00CD53DE" w:rsidRPr="00E55A1B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17F5E" w:rsidRPr="00E55A1B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5B55B1" w:rsidRPr="00E55A1B">
        <w:rPr>
          <w:rFonts w:ascii="Times New Roman" w:eastAsia="Times New Roman" w:hAnsi="Times New Roman"/>
          <w:sz w:val="24"/>
          <w:szCs w:val="24"/>
          <w:lang w:eastAsia="pl-PL"/>
        </w:rPr>
        <w:t xml:space="preserve">)), które liczone są również w odniesieniu do ustalonych kosztów Urzędu, są </w:t>
      </w:r>
      <w:r w:rsidR="00411A86">
        <w:rPr>
          <w:rFonts w:ascii="Times New Roman" w:eastAsia="Times New Roman" w:hAnsi="Times New Roman"/>
          <w:sz w:val="24"/>
          <w:szCs w:val="24"/>
          <w:lang w:eastAsia="pl-PL"/>
        </w:rPr>
        <w:t xml:space="preserve">rozliczane w całości z </w:t>
      </w:r>
      <w:r w:rsidR="00486738" w:rsidRPr="00E55A1B">
        <w:rPr>
          <w:rFonts w:ascii="Times New Roman" w:eastAsia="Times New Roman" w:hAnsi="Times New Roman"/>
          <w:sz w:val="24"/>
          <w:szCs w:val="24"/>
          <w:lang w:eastAsia="pl-PL"/>
        </w:rPr>
        <w:t xml:space="preserve">użytkownikami przestrzeni powietrznej </w:t>
      </w:r>
      <w:r w:rsidR="005B55B1" w:rsidRPr="00E55A1B">
        <w:rPr>
          <w:rFonts w:ascii="Times New Roman" w:eastAsia="Times New Roman" w:hAnsi="Times New Roman"/>
          <w:sz w:val="24"/>
          <w:szCs w:val="24"/>
          <w:lang w:eastAsia="pl-PL"/>
        </w:rPr>
        <w:t>przez instytucję zapewniającą służby żeglugi powietrznej uiszczającą wpłatę lotniczą.</w:t>
      </w:r>
    </w:p>
    <w:p w14:paraId="7D90A0ED" w14:textId="77777777" w:rsidR="00F45968" w:rsidRPr="00D845D8" w:rsidRDefault="005B55B1" w:rsidP="00E55A1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Zgodnie z art. 26d ust. 3 ustawy – Prawo lotnicze</w:t>
      </w:r>
      <w:r w:rsidR="00A3169B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wpłata lotnicza uiszczana jest corocznie w 12 miesięcznych ratach. Z przepisu tego, jak również pozostałych rozwiązań zawartych </w:t>
      </w:r>
      <w:r w:rsidRPr="000D799E">
        <w:rPr>
          <w:rFonts w:ascii="Times New Roman" w:eastAsia="Times New Roman" w:hAnsi="Times New Roman"/>
          <w:sz w:val="24"/>
          <w:szCs w:val="24"/>
          <w:lang w:eastAsia="pl-PL"/>
        </w:rPr>
        <w:t>w art. 26d ustawy – Prawo lotnicze wynika, że wpłatę lotniczą określa się na dany rok kalendarzowy. W projektowanym rozporządzeniu określona została wpł</w:t>
      </w:r>
      <w:r w:rsidR="000264FE" w:rsidRPr="000D799E">
        <w:rPr>
          <w:rFonts w:ascii="Times New Roman" w:eastAsia="Times New Roman" w:hAnsi="Times New Roman"/>
          <w:sz w:val="24"/>
          <w:szCs w:val="24"/>
          <w:lang w:eastAsia="pl-PL"/>
        </w:rPr>
        <w:t>ata lotnicza dotycząca roku 20</w:t>
      </w:r>
      <w:r w:rsidR="00CD53DE" w:rsidRPr="000D799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17F5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0D799E">
        <w:rPr>
          <w:rFonts w:ascii="Times New Roman" w:eastAsia="Times New Roman" w:hAnsi="Times New Roman"/>
          <w:sz w:val="24"/>
          <w:szCs w:val="24"/>
          <w:lang w:eastAsia="pl-PL"/>
        </w:rPr>
        <w:t>. Zaproponowany termin wejścia w życie rozpor</w:t>
      </w:r>
      <w:r w:rsidR="008C44AA">
        <w:rPr>
          <w:rFonts w:ascii="Times New Roman" w:eastAsia="Times New Roman" w:hAnsi="Times New Roman"/>
          <w:sz w:val="24"/>
          <w:szCs w:val="24"/>
          <w:lang w:eastAsia="pl-PL"/>
        </w:rPr>
        <w:t>ządzenia z dniem 1 </w:t>
      </w:r>
      <w:r w:rsidR="000264FE" w:rsidRPr="000D799E">
        <w:rPr>
          <w:rFonts w:ascii="Times New Roman" w:eastAsia="Times New Roman" w:hAnsi="Times New Roman"/>
          <w:sz w:val="24"/>
          <w:szCs w:val="24"/>
          <w:lang w:eastAsia="pl-PL"/>
        </w:rPr>
        <w:t>stycznia 20</w:t>
      </w:r>
      <w:r w:rsidR="00CD53DE" w:rsidRPr="000D799E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E17F5E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0D799E">
        <w:rPr>
          <w:rFonts w:ascii="Times New Roman" w:eastAsia="Times New Roman" w:hAnsi="Times New Roman"/>
          <w:sz w:val="24"/>
          <w:szCs w:val="24"/>
          <w:lang w:eastAsia="pl-PL"/>
        </w:rPr>
        <w:t xml:space="preserve"> r. pozostaje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atem adekwatny do przepisów ustawy – Prawo lotnicze, zwłaszcza wobec art. 26d ust. 6, z którego wynika, że niezależnie od dnia wejścia w życie rozporządzenia</w:t>
      </w:r>
      <w:r w:rsidR="00E17F5E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raty należne za okres od 1 stycznia danego roku </w:t>
      </w:r>
      <w:r w:rsidR="0036177A">
        <w:rPr>
          <w:rFonts w:ascii="Times New Roman" w:eastAsia="Times New Roman" w:hAnsi="Times New Roman"/>
          <w:sz w:val="24"/>
          <w:szCs w:val="24"/>
          <w:lang w:eastAsia="pl-PL"/>
        </w:rPr>
        <w:t>kalendarzowego do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ostatniego dnia miesiąca, w którym weszło w życie rozporządzenie wydane na podsta</w:t>
      </w:r>
      <w:r w:rsidR="00EC1B2E">
        <w:rPr>
          <w:rFonts w:ascii="Times New Roman" w:eastAsia="Times New Roman" w:hAnsi="Times New Roman"/>
          <w:sz w:val="24"/>
          <w:szCs w:val="24"/>
          <w:lang w:eastAsia="pl-PL"/>
        </w:rPr>
        <w:t>wie art. 26d ust. 7 (a więc dotyczące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wpłaty lotniczej) wpłaca się w te</w:t>
      </w:r>
      <w:r w:rsidR="0036177A">
        <w:rPr>
          <w:rFonts w:ascii="Times New Roman" w:eastAsia="Times New Roman" w:hAnsi="Times New Roman"/>
          <w:sz w:val="24"/>
          <w:szCs w:val="24"/>
          <w:lang w:eastAsia="pl-PL"/>
        </w:rPr>
        <w:t>rminie 14 dni od dnia wejścia 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życie tego rozporządzenia. </w:t>
      </w:r>
      <w:r w:rsidR="00A3169B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tym </w:t>
      </w:r>
      <w:r w:rsidR="0036177A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5B0F51">
        <w:rPr>
          <w:rFonts w:ascii="Times New Roman" w:eastAsia="Times New Roman" w:hAnsi="Times New Roman"/>
          <w:sz w:val="24"/>
          <w:szCs w:val="24"/>
          <w:lang w:eastAsia="pl-PL"/>
        </w:rPr>
        <w:t>rozporządzenie 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sprawie wpłaty lotniczej nie powinno wchodzić w życie wcześniej niż 1</w:t>
      </w:r>
      <w:r w:rsidR="00E17F5E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stycznia roku kalendarzowego, którego wpłata dotyczy, bowiem mogłoby wywoływać wątpliwość co do obowiązku uiszczenia pierwszej raty za przyszły rok kale</w:t>
      </w:r>
      <w:r w:rsidR="0036177A">
        <w:rPr>
          <w:rFonts w:ascii="Times New Roman" w:eastAsia="Times New Roman" w:hAnsi="Times New Roman"/>
          <w:sz w:val="24"/>
          <w:szCs w:val="24"/>
          <w:lang w:eastAsia="pl-PL"/>
        </w:rPr>
        <w:t>ndarzowy w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terminie 14 dni od dnia wejścia w życie rozporządzenia.</w:t>
      </w:r>
    </w:p>
    <w:p w14:paraId="307AA619" w14:textId="77777777" w:rsidR="00FE3A95" w:rsidRPr="00D845D8" w:rsidRDefault="00FE3A95" w:rsidP="006902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C42EC9D" w14:textId="77777777" w:rsidR="00EC1B2E" w:rsidRPr="00761460" w:rsidRDefault="0072574A" w:rsidP="0069025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2574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III. Informacje związane z procedowaniem projektu </w:t>
      </w:r>
    </w:p>
    <w:p w14:paraId="5E7C3393" w14:textId="77777777" w:rsidR="001F09A2" w:rsidRPr="001F09A2" w:rsidRDefault="001F09A2" w:rsidP="000910FC">
      <w:pPr>
        <w:pStyle w:val="NIEARTTEKSTtekstnieartykuowanynppodstprawnarozplubpreambua"/>
        <w:ind w:firstLine="708"/>
        <w:rPr>
          <w:rFonts w:ascii="Times New Roman" w:hAnsi="Times New Roman" w:cs="Times New Roman"/>
          <w:szCs w:val="24"/>
        </w:rPr>
      </w:pPr>
      <w:r w:rsidRPr="001F09A2">
        <w:rPr>
          <w:rFonts w:ascii="Times New Roman" w:hAnsi="Times New Roman" w:cs="Times New Roman"/>
          <w:szCs w:val="24"/>
        </w:rPr>
        <w:t>Regulacje zawarte w projektowanym rozporządzeniu nie stanowią przepisów technicznych w rozumieniu rozporządzenia Rady Ministrów z dnia 23 grudnia 2002 r. w sprawie sposobu funkcjonowania krajowego systemu notyfikacji norm i aktów prawnych (Dz. U. poz. 2039, z późn. zm.), zatem nie podlega ono notyfikacji.</w:t>
      </w:r>
    </w:p>
    <w:p w14:paraId="5DD38802" w14:textId="77777777" w:rsidR="00EC1B2E" w:rsidRPr="001F09A2" w:rsidRDefault="00EC1B2E" w:rsidP="00E55A1B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9A2">
        <w:rPr>
          <w:rFonts w:ascii="Times New Roman" w:eastAsia="Times New Roman" w:hAnsi="Times New Roman"/>
          <w:sz w:val="24"/>
          <w:szCs w:val="24"/>
          <w:lang w:eastAsia="pl-PL"/>
        </w:rPr>
        <w:t>Projekt rozporządzenia nie wymaga przestawienia właściwym instytucjom i organom Unii Europejskiej, w tym Europejskiemu Bankowi Centralnemu, w celu uzyskania opinii, dokonania powiadomienia, konsultacji albo uzgodnienia.</w:t>
      </w:r>
    </w:p>
    <w:p w14:paraId="1715AD5D" w14:textId="607ED623" w:rsidR="00EC1B2E" w:rsidRDefault="001F09A2" w:rsidP="00E55A1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09A2">
        <w:rPr>
          <w:rFonts w:ascii="Times New Roman" w:hAnsi="Times New Roman"/>
          <w:sz w:val="24"/>
          <w:szCs w:val="24"/>
        </w:rPr>
        <w:t xml:space="preserve">Zgodnie z art. 5 ustawy z dnia 7 lipca 2005 r. o działalności lobbingowej w procesie stanowienia prawa (Dz. U. z 2017 r. poz. 248) oraz </w:t>
      </w:r>
      <w:r w:rsidRPr="001F09A2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EC1B2E" w:rsidRPr="001F09A2">
        <w:rPr>
          <w:rFonts w:ascii="Times New Roman" w:eastAsia="Times New Roman" w:hAnsi="Times New Roman"/>
          <w:sz w:val="24"/>
          <w:szCs w:val="24"/>
          <w:lang w:eastAsia="pl-PL"/>
        </w:rPr>
        <w:t>tosownie do postanowień § 52 ust. 1 uchwały N</w:t>
      </w:r>
      <w:r w:rsidR="00EC1B2E" w:rsidRPr="001F09A2">
        <w:rPr>
          <w:rFonts w:ascii="Times New Roman" w:hAnsi="Times New Roman"/>
          <w:sz w:val="24"/>
          <w:szCs w:val="24"/>
        </w:rPr>
        <w:t xml:space="preserve">r 190 Rady Ministrów z dnia 29 października 2013 r. – </w:t>
      </w:r>
      <w:r w:rsidR="00EC1B2E" w:rsidRPr="001F09A2">
        <w:rPr>
          <w:rFonts w:ascii="Times New Roman" w:eastAsia="Times New Roman" w:hAnsi="Times New Roman"/>
          <w:sz w:val="24"/>
          <w:szCs w:val="24"/>
          <w:lang w:eastAsia="pl-PL"/>
        </w:rPr>
        <w:t xml:space="preserve">Regulamin pracy Rady </w:t>
      </w:r>
      <w:r w:rsidR="00EC1B2E" w:rsidRPr="001F09A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Ministrów </w:t>
      </w:r>
      <w:r w:rsidR="00EC1B2E" w:rsidRPr="001F09A2">
        <w:rPr>
          <w:rFonts w:ascii="Times New Roman" w:hAnsi="Times New Roman"/>
          <w:sz w:val="24"/>
          <w:szCs w:val="24"/>
        </w:rPr>
        <w:t>(M. P. z 2016 r. poz. 1006</w:t>
      </w:r>
      <w:r>
        <w:rPr>
          <w:rFonts w:ascii="Times New Roman" w:hAnsi="Times New Roman"/>
          <w:sz w:val="24"/>
          <w:szCs w:val="24"/>
        </w:rPr>
        <w:t>, z późn. zm.</w:t>
      </w:r>
      <w:r w:rsidR="00EC1B2E" w:rsidRPr="001F09A2">
        <w:rPr>
          <w:rFonts w:ascii="Times New Roman" w:hAnsi="Times New Roman"/>
          <w:sz w:val="24"/>
          <w:szCs w:val="24"/>
        </w:rPr>
        <w:t xml:space="preserve">) </w:t>
      </w:r>
      <w:r w:rsidR="00EC1B2E" w:rsidRPr="001F09A2">
        <w:rPr>
          <w:rFonts w:ascii="Times New Roman" w:eastAsia="Times New Roman" w:hAnsi="Times New Roman"/>
          <w:sz w:val="24"/>
          <w:szCs w:val="24"/>
          <w:lang w:eastAsia="pl-PL"/>
        </w:rPr>
        <w:t>– projekt rozporządzenia zostanie udostępniony w Biuletynie Informacji</w:t>
      </w:r>
      <w:r w:rsidR="00EC1B2E" w:rsidRPr="007510AC">
        <w:rPr>
          <w:rFonts w:ascii="Times New Roman" w:eastAsia="Times New Roman" w:hAnsi="Times New Roman"/>
          <w:sz w:val="24"/>
          <w:szCs w:val="24"/>
          <w:lang w:eastAsia="pl-PL"/>
        </w:rPr>
        <w:t xml:space="preserve"> Publicznej </w:t>
      </w:r>
      <w:r w:rsidR="00EC1B2E">
        <w:rPr>
          <w:rFonts w:ascii="Times New Roman" w:eastAsia="Times New Roman" w:hAnsi="Times New Roman"/>
          <w:sz w:val="24"/>
          <w:szCs w:val="24"/>
          <w:lang w:eastAsia="pl-PL"/>
        </w:rPr>
        <w:t xml:space="preserve">na stronie podmiotowej </w:t>
      </w:r>
      <w:r w:rsidR="00EC1B2E" w:rsidRPr="007510AC">
        <w:rPr>
          <w:rFonts w:ascii="Times New Roman" w:eastAsia="Times New Roman" w:hAnsi="Times New Roman"/>
          <w:sz w:val="24"/>
          <w:szCs w:val="24"/>
          <w:lang w:eastAsia="pl-PL"/>
        </w:rPr>
        <w:t>Rządowego Centrum Legislacji</w:t>
      </w:r>
      <w:r w:rsidR="00EC1B2E">
        <w:rPr>
          <w:rFonts w:ascii="Times New Roman" w:eastAsia="Times New Roman" w:hAnsi="Times New Roman"/>
          <w:sz w:val="24"/>
          <w:szCs w:val="24"/>
          <w:lang w:eastAsia="pl-PL"/>
        </w:rPr>
        <w:t xml:space="preserve"> w serwisie Rządowy Proces Legislacyjny</w:t>
      </w:r>
      <w:r w:rsidR="00EC1B2E" w:rsidRPr="005F387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5A88D32" w14:textId="77777777" w:rsidR="006979F6" w:rsidRDefault="005B55B1" w:rsidP="00E55A1B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Projekt rozporządzenia jest zgodny z prawem Unii Europejskiej.</w:t>
      </w:r>
    </w:p>
    <w:sectPr w:rsidR="006979F6" w:rsidSect="007221F0">
      <w:footerReference w:type="first" r:id="rId8"/>
      <w:footnotePr>
        <w:numRestart w:val="eachSect"/>
      </w:footnotePr>
      <w:type w:val="continuous"/>
      <w:pgSz w:w="11906" w:h="16838"/>
      <w:pgMar w:top="1560" w:right="1434" w:bottom="1560" w:left="1418" w:header="709" w:footer="422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93EE9" w14:textId="77777777" w:rsidR="00A869EC" w:rsidRDefault="00A869EC" w:rsidP="00F45968">
      <w:pPr>
        <w:spacing w:after="0" w:line="240" w:lineRule="auto"/>
      </w:pPr>
      <w:r>
        <w:separator/>
      </w:r>
    </w:p>
  </w:endnote>
  <w:endnote w:type="continuationSeparator" w:id="0">
    <w:p w14:paraId="4678184C" w14:textId="77777777" w:rsidR="00A869EC" w:rsidRDefault="00A869EC" w:rsidP="00F45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355224"/>
      <w:docPartObj>
        <w:docPartGallery w:val="Page Numbers (Bottom of Page)"/>
        <w:docPartUnique/>
      </w:docPartObj>
    </w:sdtPr>
    <w:sdtEndPr/>
    <w:sdtContent>
      <w:p w14:paraId="330A541F" w14:textId="77777777" w:rsidR="007221F0" w:rsidRDefault="003F5EAC">
        <w:pPr>
          <w:pStyle w:val="Stopka"/>
          <w:jc w:val="right"/>
        </w:pPr>
        <w:r>
          <w:fldChar w:fldCharType="begin"/>
        </w:r>
        <w:r w:rsidR="007221F0">
          <w:instrText>PAGE   \* MERGEFORMAT</w:instrText>
        </w:r>
        <w:r>
          <w:fldChar w:fldCharType="separate"/>
        </w:r>
        <w:r w:rsidR="001E410F">
          <w:rPr>
            <w:noProof/>
          </w:rPr>
          <w:t>1</w:t>
        </w:r>
        <w:r>
          <w:fldChar w:fldCharType="end"/>
        </w:r>
      </w:p>
    </w:sdtContent>
  </w:sdt>
  <w:p w14:paraId="2E49FD68" w14:textId="77777777" w:rsidR="007221F0" w:rsidRDefault="007221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E4C77" w14:textId="77777777" w:rsidR="00A869EC" w:rsidRDefault="00A869EC" w:rsidP="00F45968">
      <w:pPr>
        <w:spacing w:after="0" w:line="240" w:lineRule="auto"/>
      </w:pPr>
      <w:r>
        <w:separator/>
      </w:r>
    </w:p>
  </w:footnote>
  <w:footnote w:type="continuationSeparator" w:id="0">
    <w:p w14:paraId="545E5B94" w14:textId="77777777" w:rsidR="00A869EC" w:rsidRDefault="00A869EC" w:rsidP="00F45968">
      <w:pPr>
        <w:spacing w:after="0" w:line="240" w:lineRule="auto"/>
      </w:pPr>
      <w:r>
        <w:continuationSeparator/>
      </w:r>
    </w:p>
  </w:footnote>
  <w:footnote w:id="1">
    <w:p w14:paraId="5BD1CBB2" w14:textId="7870FDEA" w:rsidR="006000BC" w:rsidRPr="001E0581" w:rsidRDefault="006000BC" w:rsidP="00411A86">
      <w:pPr>
        <w:pStyle w:val="ODNONIKtreodnonika"/>
      </w:pPr>
      <w:r w:rsidRPr="001E0581">
        <w:rPr>
          <w:rStyle w:val="Odwoanieprzypisudolnego"/>
          <w:sz w:val="18"/>
          <w:szCs w:val="18"/>
        </w:rPr>
        <w:footnoteRef/>
      </w:r>
      <w:r w:rsidR="001E0581" w:rsidRPr="001E0581">
        <w:rPr>
          <w:vertAlign w:val="superscript"/>
        </w:rPr>
        <w:t>)</w:t>
      </w:r>
      <w:r w:rsidRPr="001E0581">
        <w:t xml:space="preserve"> </w:t>
      </w:r>
      <w:r w:rsidR="00411A86">
        <w:tab/>
      </w:r>
      <w:r w:rsidR="00786B73" w:rsidRPr="001E0581">
        <w:t>A</w:t>
      </w:r>
      <w:r w:rsidRPr="001E0581">
        <w:t xml:space="preserve">rt. 40 </w:t>
      </w:r>
      <w:r w:rsidR="00786B73" w:rsidRPr="001E0581">
        <w:t>r</w:t>
      </w:r>
      <w:r w:rsidRPr="001E0581">
        <w:t xml:space="preserve">ozporządzenia </w:t>
      </w:r>
      <w:r w:rsidR="003705B7" w:rsidRPr="001E0581">
        <w:t>2019/317</w:t>
      </w:r>
      <w:r w:rsidRPr="001E0581">
        <w:t>/UE uchyla rozporządzenia wykonawcze (UE) nr 390/2013 i (UE) nr 391/2013 z dniem 1 stycznia 2020 r., jednak stosuje się je nadal do celów wdrażania systemów skuteczności działania i</w:t>
      </w:r>
      <w:r w:rsidR="009747C9" w:rsidRPr="001E0581">
        <w:t> </w:t>
      </w:r>
      <w:r w:rsidRPr="001E0581">
        <w:t>opłat dotyczących drugiego okresu odniesienia.</w:t>
      </w:r>
    </w:p>
  </w:footnote>
  <w:footnote w:id="2">
    <w:p w14:paraId="49780F2F" w14:textId="4E87F9D3" w:rsidR="00876293" w:rsidRPr="001E0581" w:rsidRDefault="00876293" w:rsidP="00411A86">
      <w:pPr>
        <w:pStyle w:val="ODNONIKtreodnonika"/>
      </w:pPr>
      <w:r w:rsidRPr="001E0581">
        <w:rPr>
          <w:rStyle w:val="Odwoanieprzypisudolnego"/>
          <w:sz w:val="18"/>
          <w:szCs w:val="18"/>
        </w:rPr>
        <w:footnoteRef/>
      </w:r>
      <w:r w:rsidR="001E0581" w:rsidRPr="001E0581">
        <w:rPr>
          <w:vertAlign w:val="superscript"/>
        </w:rPr>
        <w:t>)</w:t>
      </w:r>
      <w:r w:rsidRPr="001E0581">
        <w:t xml:space="preserve"> </w:t>
      </w:r>
      <w:r w:rsidR="00411A86">
        <w:tab/>
      </w:r>
      <w:r w:rsidR="009747C9" w:rsidRPr="001E0581">
        <w:t>Projekt p</w:t>
      </w:r>
      <w:r w:rsidR="00FC3F4C" w:rsidRPr="001E0581">
        <w:t>lan</w:t>
      </w:r>
      <w:r w:rsidR="009747C9" w:rsidRPr="001E0581">
        <w:t>u opracowanego</w:t>
      </w:r>
      <w:r w:rsidR="00FC3F4C" w:rsidRPr="001E0581">
        <w:t xml:space="preserve"> na podstawie przepisów rozporzą</w:t>
      </w:r>
      <w:r w:rsidR="0081117E">
        <w:t xml:space="preserve">dzenia </w:t>
      </w:r>
      <w:r w:rsidR="002B2608" w:rsidRPr="001E0581">
        <w:t>2019/317</w:t>
      </w:r>
      <w:r w:rsidR="006E3B3D" w:rsidRPr="001E0581">
        <w:t>/UE</w:t>
      </w:r>
      <w:r w:rsidR="009747C9" w:rsidRPr="001E0581">
        <w:t xml:space="preserve"> został przekazany do Komisji Europejskie</w:t>
      </w:r>
      <w:r w:rsidR="00D61EE5" w:rsidRPr="001E0581">
        <w:t>j 19</w:t>
      </w:r>
      <w:r w:rsidR="00843704" w:rsidRPr="001E0581">
        <w:t xml:space="preserve"> </w:t>
      </w:r>
      <w:r w:rsidR="006C4390">
        <w:t>listopada 2019 r.</w:t>
      </w:r>
    </w:p>
  </w:footnote>
  <w:footnote w:id="3">
    <w:p w14:paraId="7BAA6F23" w14:textId="7CE9F6C5" w:rsidR="00C402BB" w:rsidRPr="00C53F50" w:rsidRDefault="00C402BB" w:rsidP="00411A86">
      <w:pPr>
        <w:pStyle w:val="ODNONIKtreodnonika"/>
      </w:pPr>
      <w:r w:rsidRPr="00C53F50">
        <w:rPr>
          <w:rStyle w:val="Odwoanieprzypisudolnego"/>
          <w:sz w:val="18"/>
          <w:szCs w:val="18"/>
        </w:rPr>
        <w:footnoteRef/>
      </w:r>
      <w:r w:rsidR="001E0581" w:rsidRPr="00C53F50">
        <w:rPr>
          <w:vertAlign w:val="superscript"/>
        </w:rPr>
        <w:t>)</w:t>
      </w:r>
      <w:r w:rsidRPr="00C53F50">
        <w:t xml:space="preserve"> </w:t>
      </w:r>
      <w:r w:rsidR="006613C5">
        <w:tab/>
      </w:r>
      <w:r w:rsidRPr="00C53F50">
        <w:t xml:space="preserve">Zaktualizowana inflacja dla 2016 r. – Międzynarodowy </w:t>
      </w:r>
      <w:r w:rsidR="00C45BAD" w:rsidRPr="00C53F50">
        <w:t>Fundusz Walut</w:t>
      </w:r>
      <w:r w:rsidRPr="00C53F50">
        <w:t>owy, październik 2016 r. – podana w tabelach sprawozdawczych do zrewidowanego Planu Skuteczności Działania dla Bałtyckiego FAB na lata 2015</w:t>
      </w:r>
      <w:r w:rsidR="006613C5" w:rsidRPr="00C53F50">
        <w:t>–</w:t>
      </w:r>
      <w:r w:rsidRPr="00C53F50">
        <w:t>2019, podobnie zaktualizowaną prognozę przyjęto dla kolejnych lat drugiego okresu odniesienia</w:t>
      </w:r>
      <w:r w:rsidR="00C53F50">
        <w:t>.</w:t>
      </w:r>
    </w:p>
  </w:footnote>
  <w:footnote w:id="4">
    <w:p w14:paraId="54769450" w14:textId="210CB55A" w:rsidR="00C402BB" w:rsidRPr="00C402BB" w:rsidRDefault="00C402BB" w:rsidP="00411A86">
      <w:pPr>
        <w:pStyle w:val="ODNONIKtreodnonika"/>
      </w:pPr>
      <w:r w:rsidRPr="00C53F50">
        <w:rPr>
          <w:rStyle w:val="Odwoanieprzypisudolnego"/>
          <w:sz w:val="18"/>
          <w:szCs w:val="18"/>
        </w:rPr>
        <w:footnoteRef/>
      </w:r>
      <w:r w:rsidR="00C53F50" w:rsidRPr="00C53F50">
        <w:rPr>
          <w:vertAlign w:val="superscript"/>
        </w:rPr>
        <w:t>)</w:t>
      </w:r>
      <w:r w:rsidRPr="00C53F50">
        <w:t xml:space="preserve"> </w:t>
      </w:r>
      <w:r w:rsidR="006613C5">
        <w:tab/>
      </w:r>
      <w:r w:rsidRPr="00C53F50">
        <w:t>Inflacja wynikająca z zatwierdzonej przez K</w:t>
      </w:r>
      <w:r w:rsidR="006613C5">
        <w:t xml:space="preserve">omisję </w:t>
      </w:r>
      <w:r w:rsidRPr="00C53F50">
        <w:t>E</w:t>
      </w:r>
      <w:r w:rsidR="006613C5">
        <w:t>uropejską</w:t>
      </w:r>
      <w:r w:rsidRPr="00C53F50">
        <w:t xml:space="preserve"> rewizji Planu Skuteczności Działania dla Bałtyckiego </w:t>
      </w:r>
      <w:proofErr w:type="spellStart"/>
      <w:r w:rsidRPr="00C53F50">
        <w:t>FABu</w:t>
      </w:r>
      <w:proofErr w:type="spellEnd"/>
      <w:r w:rsidRPr="00C53F50">
        <w:t xml:space="preserve"> na lata 2015</w:t>
      </w:r>
      <w:r w:rsidR="006613C5" w:rsidRPr="00C53F50">
        <w:t>–</w:t>
      </w:r>
      <w:r w:rsidRPr="00C53F50">
        <w:t>2019 – rewizja dotyczy lat 2017</w:t>
      </w:r>
      <w:r w:rsidR="006613C5" w:rsidRPr="00C53F50">
        <w:t>–</w:t>
      </w:r>
      <w:r w:rsidRPr="00C53F50">
        <w:t>2019.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93C5C"/>
    <w:multiLevelType w:val="hybridMultilevel"/>
    <w:tmpl w:val="AA9E1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2DE3"/>
    <w:multiLevelType w:val="hybridMultilevel"/>
    <w:tmpl w:val="65B8AFB4"/>
    <w:lvl w:ilvl="0" w:tplc="66B0FE3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C634AE"/>
    <w:multiLevelType w:val="hybridMultilevel"/>
    <w:tmpl w:val="F5CC1DF0"/>
    <w:lvl w:ilvl="0" w:tplc="FE128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D713A"/>
    <w:multiLevelType w:val="hybridMultilevel"/>
    <w:tmpl w:val="FACE56C2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7D46549"/>
    <w:multiLevelType w:val="hybridMultilevel"/>
    <w:tmpl w:val="F044E8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68"/>
    <w:rsid w:val="00003BB6"/>
    <w:rsid w:val="00017499"/>
    <w:rsid w:val="000264FE"/>
    <w:rsid w:val="000448C3"/>
    <w:rsid w:val="00055E73"/>
    <w:rsid w:val="000622A7"/>
    <w:rsid w:val="000663B6"/>
    <w:rsid w:val="00067979"/>
    <w:rsid w:val="000704DA"/>
    <w:rsid w:val="0007361F"/>
    <w:rsid w:val="000765EF"/>
    <w:rsid w:val="000829FE"/>
    <w:rsid w:val="000910FC"/>
    <w:rsid w:val="00095F67"/>
    <w:rsid w:val="00097BC5"/>
    <w:rsid w:val="000A50E0"/>
    <w:rsid w:val="000B60D2"/>
    <w:rsid w:val="000B6B3C"/>
    <w:rsid w:val="000C29CD"/>
    <w:rsid w:val="000C4B74"/>
    <w:rsid w:val="000D01A7"/>
    <w:rsid w:val="000D531A"/>
    <w:rsid w:val="000D799E"/>
    <w:rsid w:val="000E507D"/>
    <w:rsid w:val="000F0E40"/>
    <w:rsid w:val="001003F6"/>
    <w:rsid w:val="001219BA"/>
    <w:rsid w:val="00123E10"/>
    <w:rsid w:val="00125D97"/>
    <w:rsid w:val="00133E9F"/>
    <w:rsid w:val="00134DC5"/>
    <w:rsid w:val="001362E6"/>
    <w:rsid w:val="00140EFA"/>
    <w:rsid w:val="00141A2B"/>
    <w:rsid w:val="00145D1D"/>
    <w:rsid w:val="001468A8"/>
    <w:rsid w:val="00165DA3"/>
    <w:rsid w:val="00175BEF"/>
    <w:rsid w:val="00185173"/>
    <w:rsid w:val="00192B3B"/>
    <w:rsid w:val="00193968"/>
    <w:rsid w:val="0019614E"/>
    <w:rsid w:val="001A21F4"/>
    <w:rsid w:val="001A49B1"/>
    <w:rsid w:val="001B1A1B"/>
    <w:rsid w:val="001B394D"/>
    <w:rsid w:val="001E0581"/>
    <w:rsid w:val="001E410F"/>
    <w:rsid w:val="001F09A2"/>
    <w:rsid w:val="001F2218"/>
    <w:rsid w:val="001F26E9"/>
    <w:rsid w:val="001F3A15"/>
    <w:rsid w:val="001F3E14"/>
    <w:rsid w:val="001F7E7A"/>
    <w:rsid w:val="00201F9D"/>
    <w:rsid w:val="002044DB"/>
    <w:rsid w:val="00226781"/>
    <w:rsid w:val="002354A5"/>
    <w:rsid w:val="00240F2C"/>
    <w:rsid w:val="002641BB"/>
    <w:rsid w:val="00264C68"/>
    <w:rsid w:val="002747EC"/>
    <w:rsid w:val="00275841"/>
    <w:rsid w:val="00296847"/>
    <w:rsid w:val="002A5E75"/>
    <w:rsid w:val="002B2608"/>
    <w:rsid w:val="002B4984"/>
    <w:rsid w:val="002C4745"/>
    <w:rsid w:val="002F5E78"/>
    <w:rsid w:val="00302A03"/>
    <w:rsid w:val="0030601C"/>
    <w:rsid w:val="00306540"/>
    <w:rsid w:val="00310466"/>
    <w:rsid w:val="0032000E"/>
    <w:rsid w:val="00343DE5"/>
    <w:rsid w:val="00346EFF"/>
    <w:rsid w:val="00350685"/>
    <w:rsid w:val="00351CD7"/>
    <w:rsid w:val="00352272"/>
    <w:rsid w:val="0035679F"/>
    <w:rsid w:val="003579A8"/>
    <w:rsid w:val="0036177A"/>
    <w:rsid w:val="00362C55"/>
    <w:rsid w:val="003705B7"/>
    <w:rsid w:val="00370ABA"/>
    <w:rsid w:val="00372C73"/>
    <w:rsid w:val="00391014"/>
    <w:rsid w:val="00394369"/>
    <w:rsid w:val="003A2727"/>
    <w:rsid w:val="003A278C"/>
    <w:rsid w:val="003A37F9"/>
    <w:rsid w:val="003B2FB6"/>
    <w:rsid w:val="003C2A78"/>
    <w:rsid w:val="003C417F"/>
    <w:rsid w:val="003C5BBC"/>
    <w:rsid w:val="003C6AE4"/>
    <w:rsid w:val="003D7467"/>
    <w:rsid w:val="003F3C4D"/>
    <w:rsid w:val="003F5EAC"/>
    <w:rsid w:val="003F736C"/>
    <w:rsid w:val="004033AE"/>
    <w:rsid w:val="004109B2"/>
    <w:rsid w:val="00411A86"/>
    <w:rsid w:val="00430035"/>
    <w:rsid w:val="00432780"/>
    <w:rsid w:val="0044220E"/>
    <w:rsid w:val="00462211"/>
    <w:rsid w:val="00467560"/>
    <w:rsid w:val="0047632D"/>
    <w:rsid w:val="00477046"/>
    <w:rsid w:val="00481391"/>
    <w:rsid w:val="00484DE2"/>
    <w:rsid w:val="00486738"/>
    <w:rsid w:val="004869CF"/>
    <w:rsid w:val="004A45F8"/>
    <w:rsid w:val="004B0EFB"/>
    <w:rsid w:val="004B2153"/>
    <w:rsid w:val="004B5269"/>
    <w:rsid w:val="004C0281"/>
    <w:rsid w:val="004C47EC"/>
    <w:rsid w:val="004C5D6D"/>
    <w:rsid w:val="004C6CDB"/>
    <w:rsid w:val="004C759C"/>
    <w:rsid w:val="004C7D67"/>
    <w:rsid w:val="004D1933"/>
    <w:rsid w:val="004D6559"/>
    <w:rsid w:val="004E57A5"/>
    <w:rsid w:val="004F0B2C"/>
    <w:rsid w:val="004F571D"/>
    <w:rsid w:val="005043EC"/>
    <w:rsid w:val="005311E4"/>
    <w:rsid w:val="005346CA"/>
    <w:rsid w:val="00534C38"/>
    <w:rsid w:val="005369A8"/>
    <w:rsid w:val="005467BE"/>
    <w:rsid w:val="00547382"/>
    <w:rsid w:val="00552634"/>
    <w:rsid w:val="00553B09"/>
    <w:rsid w:val="00571C77"/>
    <w:rsid w:val="00571CAB"/>
    <w:rsid w:val="005820BF"/>
    <w:rsid w:val="00587ED3"/>
    <w:rsid w:val="005915E5"/>
    <w:rsid w:val="00594098"/>
    <w:rsid w:val="00596462"/>
    <w:rsid w:val="005B0F51"/>
    <w:rsid w:val="005B159F"/>
    <w:rsid w:val="005B55B1"/>
    <w:rsid w:val="005B7C8C"/>
    <w:rsid w:val="005C0D53"/>
    <w:rsid w:val="005C5338"/>
    <w:rsid w:val="005D0AE4"/>
    <w:rsid w:val="005D3A35"/>
    <w:rsid w:val="005D3F59"/>
    <w:rsid w:val="005D433D"/>
    <w:rsid w:val="005D4B8E"/>
    <w:rsid w:val="005E3FB5"/>
    <w:rsid w:val="005F247C"/>
    <w:rsid w:val="005F3876"/>
    <w:rsid w:val="005F66F0"/>
    <w:rsid w:val="005F7B16"/>
    <w:rsid w:val="006000BC"/>
    <w:rsid w:val="006001C3"/>
    <w:rsid w:val="00600811"/>
    <w:rsid w:val="00612A6C"/>
    <w:rsid w:val="00616962"/>
    <w:rsid w:val="00620E1E"/>
    <w:rsid w:val="0062674F"/>
    <w:rsid w:val="00635A59"/>
    <w:rsid w:val="00645662"/>
    <w:rsid w:val="006613C5"/>
    <w:rsid w:val="00666061"/>
    <w:rsid w:val="00675041"/>
    <w:rsid w:val="00675A6C"/>
    <w:rsid w:val="00682EE2"/>
    <w:rsid w:val="00684FEC"/>
    <w:rsid w:val="00685304"/>
    <w:rsid w:val="0068667B"/>
    <w:rsid w:val="00687ACC"/>
    <w:rsid w:val="00690256"/>
    <w:rsid w:val="00690327"/>
    <w:rsid w:val="00690993"/>
    <w:rsid w:val="00696910"/>
    <w:rsid w:val="0069773F"/>
    <w:rsid w:val="006979F6"/>
    <w:rsid w:val="006A183B"/>
    <w:rsid w:val="006A4BDD"/>
    <w:rsid w:val="006B4B6B"/>
    <w:rsid w:val="006C4390"/>
    <w:rsid w:val="006C5AF7"/>
    <w:rsid w:val="006D0D8F"/>
    <w:rsid w:val="006D1B45"/>
    <w:rsid w:val="006E15A1"/>
    <w:rsid w:val="006E1880"/>
    <w:rsid w:val="006E3B3D"/>
    <w:rsid w:val="00713D8B"/>
    <w:rsid w:val="007221F0"/>
    <w:rsid w:val="00722DAA"/>
    <w:rsid w:val="0072574A"/>
    <w:rsid w:val="0074044F"/>
    <w:rsid w:val="00741ED8"/>
    <w:rsid w:val="00742FED"/>
    <w:rsid w:val="007510AC"/>
    <w:rsid w:val="00761460"/>
    <w:rsid w:val="00764606"/>
    <w:rsid w:val="00764839"/>
    <w:rsid w:val="00765D36"/>
    <w:rsid w:val="00777439"/>
    <w:rsid w:val="007826EE"/>
    <w:rsid w:val="007852F9"/>
    <w:rsid w:val="00786B73"/>
    <w:rsid w:val="007A551E"/>
    <w:rsid w:val="007B38F5"/>
    <w:rsid w:val="007C2AB8"/>
    <w:rsid w:val="007C32AE"/>
    <w:rsid w:val="007F68C4"/>
    <w:rsid w:val="00804904"/>
    <w:rsid w:val="008076BC"/>
    <w:rsid w:val="00810CD7"/>
    <w:rsid w:val="0081117E"/>
    <w:rsid w:val="00813F04"/>
    <w:rsid w:val="00816384"/>
    <w:rsid w:val="00817B6F"/>
    <w:rsid w:val="0082626F"/>
    <w:rsid w:val="008265C9"/>
    <w:rsid w:val="00827D79"/>
    <w:rsid w:val="00840925"/>
    <w:rsid w:val="00843704"/>
    <w:rsid w:val="008466BE"/>
    <w:rsid w:val="008526FC"/>
    <w:rsid w:val="0085438C"/>
    <w:rsid w:val="00870BAA"/>
    <w:rsid w:val="008717E3"/>
    <w:rsid w:val="00871AE3"/>
    <w:rsid w:val="00876293"/>
    <w:rsid w:val="0088131A"/>
    <w:rsid w:val="0088268E"/>
    <w:rsid w:val="008A4E9E"/>
    <w:rsid w:val="008B069C"/>
    <w:rsid w:val="008B0B58"/>
    <w:rsid w:val="008C1C6B"/>
    <w:rsid w:val="008C36D8"/>
    <w:rsid w:val="008C44AA"/>
    <w:rsid w:val="008C4749"/>
    <w:rsid w:val="008D0384"/>
    <w:rsid w:val="008E4B46"/>
    <w:rsid w:val="008F2E0C"/>
    <w:rsid w:val="008F4EE8"/>
    <w:rsid w:val="00910131"/>
    <w:rsid w:val="0091060D"/>
    <w:rsid w:val="00920AC8"/>
    <w:rsid w:val="009225C4"/>
    <w:rsid w:val="00935644"/>
    <w:rsid w:val="00945759"/>
    <w:rsid w:val="00947F18"/>
    <w:rsid w:val="009535FF"/>
    <w:rsid w:val="00953F34"/>
    <w:rsid w:val="009600EF"/>
    <w:rsid w:val="00960412"/>
    <w:rsid w:val="00962780"/>
    <w:rsid w:val="00965E35"/>
    <w:rsid w:val="009747C9"/>
    <w:rsid w:val="00982D0B"/>
    <w:rsid w:val="00990140"/>
    <w:rsid w:val="0099236D"/>
    <w:rsid w:val="009A4A55"/>
    <w:rsid w:val="009B1D58"/>
    <w:rsid w:val="009B629C"/>
    <w:rsid w:val="009C3BA8"/>
    <w:rsid w:val="009C45A3"/>
    <w:rsid w:val="009D2ABE"/>
    <w:rsid w:val="009E6830"/>
    <w:rsid w:val="009E75EC"/>
    <w:rsid w:val="009F1C26"/>
    <w:rsid w:val="00A11824"/>
    <w:rsid w:val="00A137AA"/>
    <w:rsid w:val="00A237C0"/>
    <w:rsid w:val="00A31513"/>
    <w:rsid w:val="00A3169B"/>
    <w:rsid w:val="00A338D6"/>
    <w:rsid w:val="00A40465"/>
    <w:rsid w:val="00A53993"/>
    <w:rsid w:val="00A54F5F"/>
    <w:rsid w:val="00A706F3"/>
    <w:rsid w:val="00A7524E"/>
    <w:rsid w:val="00A755BD"/>
    <w:rsid w:val="00A75B8E"/>
    <w:rsid w:val="00A827FF"/>
    <w:rsid w:val="00A862D6"/>
    <w:rsid w:val="00A869EC"/>
    <w:rsid w:val="00A960D9"/>
    <w:rsid w:val="00AA0035"/>
    <w:rsid w:val="00AA056A"/>
    <w:rsid w:val="00AA69D1"/>
    <w:rsid w:val="00AB5C71"/>
    <w:rsid w:val="00AB6F13"/>
    <w:rsid w:val="00AD061E"/>
    <w:rsid w:val="00AD1143"/>
    <w:rsid w:val="00AD365F"/>
    <w:rsid w:val="00AE0F77"/>
    <w:rsid w:val="00AF1914"/>
    <w:rsid w:val="00B01AD3"/>
    <w:rsid w:val="00B135D0"/>
    <w:rsid w:val="00B17092"/>
    <w:rsid w:val="00B20271"/>
    <w:rsid w:val="00B21791"/>
    <w:rsid w:val="00B22D6A"/>
    <w:rsid w:val="00B27ACA"/>
    <w:rsid w:val="00B304E9"/>
    <w:rsid w:val="00B4064B"/>
    <w:rsid w:val="00B4274E"/>
    <w:rsid w:val="00B428FC"/>
    <w:rsid w:val="00B44B3F"/>
    <w:rsid w:val="00B45E0E"/>
    <w:rsid w:val="00B50A52"/>
    <w:rsid w:val="00B51674"/>
    <w:rsid w:val="00B518BE"/>
    <w:rsid w:val="00B51A8A"/>
    <w:rsid w:val="00B555C3"/>
    <w:rsid w:val="00B5564B"/>
    <w:rsid w:val="00B55C01"/>
    <w:rsid w:val="00B55F94"/>
    <w:rsid w:val="00B645A6"/>
    <w:rsid w:val="00B64676"/>
    <w:rsid w:val="00B671C8"/>
    <w:rsid w:val="00B67ADB"/>
    <w:rsid w:val="00B7645D"/>
    <w:rsid w:val="00BA1800"/>
    <w:rsid w:val="00BA66E8"/>
    <w:rsid w:val="00BB5A05"/>
    <w:rsid w:val="00BC283A"/>
    <w:rsid w:val="00BC3DA0"/>
    <w:rsid w:val="00BC5DF3"/>
    <w:rsid w:val="00BC618F"/>
    <w:rsid w:val="00BD7A3F"/>
    <w:rsid w:val="00BF223F"/>
    <w:rsid w:val="00BF64FF"/>
    <w:rsid w:val="00C00A0F"/>
    <w:rsid w:val="00C01057"/>
    <w:rsid w:val="00C1280B"/>
    <w:rsid w:val="00C270FB"/>
    <w:rsid w:val="00C317F3"/>
    <w:rsid w:val="00C319DE"/>
    <w:rsid w:val="00C402BB"/>
    <w:rsid w:val="00C41D0E"/>
    <w:rsid w:val="00C45BAD"/>
    <w:rsid w:val="00C53F50"/>
    <w:rsid w:val="00C53FCD"/>
    <w:rsid w:val="00C5733D"/>
    <w:rsid w:val="00C60A79"/>
    <w:rsid w:val="00C647A6"/>
    <w:rsid w:val="00C671F6"/>
    <w:rsid w:val="00C754E4"/>
    <w:rsid w:val="00C77BA7"/>
    <w:rsid w:val="00C803DA"/>
    <w:rsid w:val="00C910F3"/>
    <w:rsid w:val="00CA0A18"/>
    <w:rsid w:val="00CA198D"/>
    <w:rsid w:val="00CA22D2"/>
    <w:rsid w:val="00CA3262"/>
    <w:rsid w:val="00CC24DC"/>
    <w:rsid w:val="00CC3A99"/>
    <w:rsid w:val="00CD3364"/>
    <w:rsid w:val="00CD53DE"/>
    <w:rsid w:val="00CD5A2D"/>
    <w:rsid w:val="00CF2178"/>
    <w:rsid w:val="00CF2A91"/>
    <w:rsid w:val="00D02D4B"/>
    <w:rsid w:val="00D1481C"/>
    <w:rsid w:val="00D17B8E"/>
    <w:rsid w:val="00D27930"/>
    <w:rsid w:val="00D31D1A"/>
    <w:rsid w:val="00D31D4B"/>
    <w:rsid w:val="00D32DD8"/>
    <w:rsid w:val="00D35F23"/>
    <w:rsid w:val="00D52856"/>
    <w:rsid w:val="00D542D7"/>
    <w:rsid w:val="00D61EE5"/>
    <w:rsid w:val="00D70117"/>
    <w:rsid w:val="00D75112"/>
    <w:rsid w:val="00D77783"/>
    <w:rsid w:val="00D845D8"/>
    <w:rsid w:val="00DA1DCD"/>
    <w:rsid w:val="00DA7DF5"/>
    <w:rsid w:val="00DC2286"/>
    <w:rsid w:val="00DC2CA9"/>
    <w:rsid w:val="00DD1220"/>
    <w:rsid w:val="00DF1390"/>
    <w:rsid w:val="00E00880"/>
    <w:rsid w:val="00E031F0"/>
    <w:rsid w:val="00E07397"/>
    <w:rsid w:val="00E14EC0"/>
    <w:rsid w:val="00E17F5E"/>
    <w:rsid w:val="00E319FB"/>
    <w:rsid w:val="00E509E2"/>
    <w:rsid w:val="00E55A1B"/>
    <w:rsid w:val="00E64785"/>
    <w:rsid w:val="00E71E46"/>
    <w:rsid w:val="00E77583"/>
    <w:rsid w:val="00E8149A"/>
    <w:rsid w:val="00E81741"/>
    <w:rsid w:val="00E819EF"/>
    <w:rsid w:val="00E915C2"/>
    <w:rsid w:val="00E92CCE"/>
    <w:rsid w:val="00E93206"/>
    <w:rsid w:val="00EA0B59"/>
    <w:rsid w:val="00EC1B2E"/>
    <w:rsid w:val="00EC69FE"/>
    <w:rsid w:val="00EC7D70"/>
    <w:rsid w:val="00ED2A1D"/>
    <w:rsid w:val="00ED38DE"/>
    <w:rsid w:val="00ED6D2D"/>
    <w:rsid w:val="00ED7886"/>
    <w:rsid w:val="00EE02D6"/>
    <w:rsid w:val="00EE4259"/>
    <w:rsid w:val="00EF037F"/>
    <w:rsid w:val="00EF26D7"/>
    <w:rsid w:val="00EF55D4"/>
    <w:rsid w:val="00F03AE9"/>
    <w:rsid w:val="00F128EC"/>
    <w:rsid w:val="00F135A0"/>
    <w:rsid w:val="00F17272"/>
    <w:rsid w:val="00F231AF"/>
    <w:rsid w:val="00F3358D"/>
    <w:rsid w:val="00F361B1"/>
    <w:rsid w:val="00F36D24"/>
    <w:rsid w:val="00F40FA5"/>
    <w:rsid w:val="00F4308F"/>
    <w:rsid w:val="00F45968"/>
    <w:rsid w:val="00F640C2"/>
    <w:rsid w:val="00F664E4"/>
    <w:rsid w:val="00F66D65"/>
    <w:rsid w:val="00F8667E"/>
    <w:rsid w:val="00F955B4"/>
    <w:rsid w:val="00FA03C4"/>
    <w:rsid w:val="00FA2512"/>
    <w:rsid w:val="00FC3F4C"/>
    <w:rsid w:val="00FC5A7E"/>
    <w:rsid w:val="00FC7B24"/>
    <w:rsid w:val="00FE227D"/>
    <w:rsid w:val="00FE34C5"/>
    <w:rsid w:val="00FE3A95"/>
    <w:rsid w:val="00FF2F5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DA42E"/>
  <w15:docId w15:val="{89E8FA12-823F-4D53-A87F-ED2A34A5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9FE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27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5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968"/>
  </w:style>
  <w:style w:type="character" w:styleId="Odwoanieprzypisudolnego">
    <w:name w:val="footnote reference"/>
    <w:uiPriority w:val="99"/>
    <w:semiHidden/>
    <w:rsid w:val="00F45968"/>
    <w:rPr>
      <w:rFonts w:cs="Times New Roman"/>
      <w:vertAlign w:val="superscript"/>
    </w:rPr>
  </w:style>
  <w:style w:type="paragraph" w:customStyle="1" w:styleId="ODNONIKtreodnonika">
    <w:name w:val="ODNOŚNIK – treść odnośnika"/>
    <w:uiPriority w:val="24"/>
    <w:qFormat/>
    <w:rsid w:val="00F45968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styleId="Numerstrony">
    <w:name w:val="page number"/>
    <w:basedOn w:val="Domylnaczcionkaakapitu"/>
    <w:rsid w:val="00F4596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9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45968"/>
    <w:rPr>
      <w:sz w:val="20"/>
      <w:szCs w:val="20"/>
    </w:rPr>
  </w:style>
  <w:style w:type="character" w:customStyle="1" w:styleId="IGindeksgrny">
    <w:name w:val="_IG_ – indeks górny"/>
    <w:uiPriority w:val="2"/>
    <w:qFormat/>
    <w:rsid w:val="00097BC5"/>
    <w:rPr>
      <w:b w:val="0"/>
      <w:i w:val="0"/>
      <w:vanish w:val="0"/>
      <w:spacing w:val="0"/>
      <w:vertAlign w:val="superscript"/>
    </w:rPr>
  </w:style>
  <w:style w:type="paragraph" w:customStyle="1" w:styleId="NAZORGWYDnazwaorganuwydajcegoprojektowanyakt">
    <w:name w:val="NAZ_ORG_WYD – nazwa organu wydającego projektowany akt"/>
    <w:basedOn w:val="Normalny"/>
    <w:uiPriority w:val="99"/>
    <w:qFormat/>
    <w:rsid w:val="00097BC5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/>
      <w:b/>
      <w:bCs/>
      <w:caps/>
      <w:kern w:val="24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191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90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0327"/>
  </w:style>
  <w:style w:type="paragraph" w:styleId="Tekstdymka">
    <w:name w:val="Balloon Text"/>
    <w:basedOn w:val="Normalny"/>
    <w:link w:val="TekstdymkaZnak"/>
    <w:uiPriority w:val="99"/>
    <w:semiHidden/>
    <w:unhideWhenUsed/>
    <w:rsid w:val="003A37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37F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8D0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038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038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0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0384"/>
    <w:rPr>
      <w:b/>
      <w:bCs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0264FE"/>
    <w:rPr>
      <w:color w:val="0000FF"/>
      <w:u w:val="single"/>
    </w:rPr>
  </w:style>
  <w:style w:type="paragraph" w:styleId="Poprawka">
    <w:name w:val="Revision"/>
    <w:hidden/>
    <w:uiPriority w:val="99"/>
    <w:semiHidden/>
    <w:rsid w:val="00FE34C5"/>
    <w:rPr>
      <w:sz w:val="22"/>
      <w:szCs w:val="22"/>
      <w:lang w:eastAsia="en-US"/>
    </w:rPr>
  </w:style>
  <w:style w:type="character" w:customStyle="1" w:styleId="Teksttreci">
    <w:name w:val="Tekst treści_"/>
    <w:basedOn w:val="Domylnaczcionkaakapitu"/>
    <w:link w:val="Teksttreci0"/>
    <w:rsid w:val="00AD365F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D365F"/>
    <w:pPr>
      <w:widowControl w:val="0"/>
      <w:shd w:val="clear" w:color="auto" w:fill="FFFFFF"/>
      <w:spacing w:before="180" w:after="300" w:line="0" w:lineRule="atLeast"/>
      <w:ind w:hanging="460"/>
      <w:jc w:val="center"/>
    </w:pPr>
    <w:rPr>
      <w:sz w:val="19"/>
      <w:szCs w:val="19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A278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qFormat/>
    <w:rsid w:val="001F09A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Default">
    <w:name w:val="Default"/>
    <w:rsid w:val="00B55C0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61E7-9348-4940-82BA-C53800174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Grochowalska Iwona</dc:creator>
  <cp:lastModifiedBy>Morawski Marcin</cp:lastModifiedBy>
  <cp:revision>2</cp:revision>
  <cp:lastPrinted>2016-06-04T06:16:00Z</cp:lastPrinted>
  <dcterms:created xsi:type="dcterms:W3CDTF">2020-12-07T08:27:00Z</dcterms:created>
  <dcterms:modified xsi:type="dcterms:W3CDTF">2020-12-07T08:27:00Z</dcterms:modified>
</cp:coreProperties>
</file>