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E" w:rsidRDefault="00BD2874" w:rsidP="00BD2874">
      <w:pPr>
        <w:pStyle w:val="OZNPROJEKTUwskazaniedatylubwersjiprojektu"/>
      </w:pPr>
      <w:r w:rsidRPr="00BD2874">
        <w:t xml:space="preserve">Projekt z dnia </w:t>
      </w:r>
      <w:r w:rsidR="00331999">
        <w:t>02</w:t>
      </w:r>
      <w:r w:rsidRPr="00BD2874">
        <w:t>.</w:t>
      </w:r>
      <w:r w:rsidR="00331999">
        <w:t>10</w:t>
      </w:r>
      <w:r w:rsidRPr="00BD2874">
        <w:t xml:space="preserve">.2015 </w:t>
      </w:r>
    </w:p>
    <w:p w:rsidR="00BD2874" w:rsidRPr="00BD2874" w:rsidRDefault="00BD2874" w:rsidP="00BD2874">
      <w:pPr>
        <w:pStyle w:val="OZNRODZAKTUtznustawalubrozporzdzenieiorganwydajcy"/>
      </w:pPr>
      <w:r w:rsidRPr="00BD2874">
        <w:t>ROZPORZĄDZENIE</w:t>
      </w:r>
    </w:p>
    <w:p w:rsidR="00BD2874" w:rsidRPr="00BD2874" w:rsidRDefault="00BD2874" w:rsidP="00BD2874">
      <w:pPr>
        <w:pStyle w:val="OZNRODZAKTUtznustawalubrozporzdzenieiorganwydajcy"/>
      </w:pPr>
      <w:r w:rsidRPr="00BD2874">
        <w:t>MINISTRA INFRASTRUKTURY I ROZWOJU</w:t>
      </w:r>
      <w:r>
        <w:rPr>
          <w:rStyle w:val="Odwoanieprzypisudolnego"/>
        </w:rPr>
        <w:footnoteReference w:id="1"/>
      </w:r>
      <w:r w:rsidRPr="00BD2874">
        <w:rPr>
          <w:rStyle w:val="IGindeksgrny"/>
        </w:rPr>
        <w:t>)</w:t>
      </w:r>
    </w:p>
    <w:p w:rsidR="00BD2874" w:rsidRPr="00BD2874" w:rsidRDefault="00BD2874" w:rsidP="00BD2874">
      <w:pPr>
        <w:pStyle w:val="DATAAKTUdatauchwalenialubwydaniaaktu"/>
      </w:pPr>
      <w:r w:rsidRPr="00BD2874">
        <w:t>z dnia ……………………. 2015 r.</w:t>
      </w:r>
    </w:p>
    <w:p w:rsidR="00BD2874" w:rsidRPr="00BD2874" w:rsidRDefault="00BD2874" w:rsidP="00BD2874">
      <w:pPr>
        <w:pStyle w:val="TYTUAKTUprzedmiotregulacjiustawylubrozporzdzenia"/>
      </w:pPr>
      <w:r w:rsidRPr="00BD2874">
        <w:t>w sprawie lotniczych urządzeń naziemnych</w:t>
      </w:r>
    </w:p>
    <w:p w:rsidR="00BD2874" w:rsidRPr="00BD2874" w:rsidRDefault="00BD2874" w:rsidP="00BD2874">
      <w:pPr>
        <w:pStyle w:val="NIEARTTEKSTtekstnieartykuowanynppodstprawnarozplubpreambua"/>
      </w:pPr>
      <w:r w:rsidRPr="00BD2874">
        <w:t xml:space="preserve">Na podstawie art. 92 pkt 1–3 ustawy z dnia 3 lipca 2002 r. – Prawo lotnicze </w:t>
      </w:r>
      <w:r w:rsidR="003A3C9E" w:rsidRPr="003A3C9E">
        <w:t>(Dz. U. z 2013 r. poz. 1393,  z późn. zm.</w:t>
      </w:r>
      <w:r w:rsidR="003A3C9E">
        <w:rPr>
          <w:rStyle w:val="Odwoanieprzypisudolnego"/>
        </w:rPr>
        <w:footnoteReference w:id="2"/>
      </w:r>
      <w:r w:rsidR="003A3C9E">
        <w:rPr>
          <w:rStyle w:val="IGindeksgrny"/>
        </w:rPr>
        <w:t>)</w:t>
      </w:r>
      <w:r w:rsidR="003A3C9E" w:rsidRPr="003A3C9E">
        <w:t>)</w:t>
      </w:r>
      <w:r w:rsidR="003A3C9E">
        <w:t xml:space="preserve"> </w:t>
      </w:r>
      <w:r w:rsidRPr="00BD2874">
        <w:t>zarządza się, co następuje:</w:t>
      </w:r>
    </w:p>
    <w:p w:rsidR="00BD2874" w:rsidRPr="00BD2874" w:rsidRDefault="00BD2874" w:rsidP="00BD2874">
      <w:pPr>
        <w:pStyle w:val="ROZDZODDZOZNoznaczenierozdziauluboddziau"/>
      </w:pPr>
      <w:r w:rsidRPr="00BD2874">
        <w:t>Rozdział 1</w:t>
      </w:r>
    </w:p>
    <w:p w:rsidR="00BD2874" w:rsidRPr="00BD2874" w:rsidRDefault="00BD2874" w:rsidP="00BD2874">
      <w:pPr>
        <w:pStyle w:val="ROZDZODDZPRZEDMprzedmiotregulacjirozdziauluboddziau"/>
      </w:pPr>
      <w:r w:rsidRPr="00BD2874">
        <w:t>Przepisy ogólne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t>§ 1.</w:t>
      </w:r>
      <w:r>
        <w:t> </w:t>
      </w:r>
      <w:r w:rsidRPr="00BD2874">
        <w:t>Rozporządzenie określa: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>zasady klasyfikacji lotniczych urządzeń naziemnych;</w:t>
      </w:r>
    </w:p>
    <w:p w:rsidR="00BD2874" w:rsidRPr="00BD2874" w:rsidRDefault="00BD2874" w:rsidP="00BD2874">
      <w:pPr>
        <w:pStyle w:val="PKTpunkt"/>
      </w:pPr>
      <w:r w:rsidRPr="00BD2874">
        <w:t>2)</w:t>
      </w:r>
      <w:r>
        <w:tab/>
      </w:r>
      <w:r w:rsidRPr="00BD2874">
        <w:t>warunki techniczne, jakie powinny spełniać lotnicze urządzenia naziemne oraz warunki ich eksploatacji;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>szczegółowe zasady i tryb prowadzenia rejestru lotniczych urządzeń naziemnych z uwzględnieniem wymagań dotyczących dokumentacji rejestrowej.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t>§ 2.</w:t>
      </w:r>
      <w:r>
        <w:t> </w:t>
      </w:r>
      <w:r w:rsidRPr="00BD2874">
        <w:t>Użyte w rozporządzeniu określenia i skróty oznaczają: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 xml:space="preserve">AIP Polska – </w:t>
      </w:r>
      <w:r w:rsidR="004A6FEA" w:rsidRPr="004A6FEA">
        <w:t>Zbiór Informacji Lotniczych, wchodzący w skład Zintegrowanego Pakietu Informacji Lotniczych</w:t>
      </w:r>
      <w:r w:rsidRPr="00BD2874">
        <w:t>;</w:t>
      </w:r>
    </w:p>
    <w:p w:rsidR="00BD2874" w:rsidRPr="00BD2874" w:rsidRDefault="00BD2874" w:rsidP="00093D3C">
      <w:pPr>
        <w:pStyle w:val="PKTpunkt"/>
      </w:pPr>
      <w:r w:rsidRPr="00BD2874">
        <w:t>2)</w:t>
      </w:r>
      <w:r>
        <w:tab/>
      </w:r>
      <w:r w:rsidRPr="00BD2874">
        <w:t>DDM – (Difference in depth of modulation) – różnicę głębokości modulacji, obliczaną jako procentową głębokość modulacji większego sygnału, pomniejszoną o procentową głębokość modulacji sygnału mniejszego i podzieloną przez 100;</w:t>
      </w:r>
    </w:p>
    <w:p w:rsidR="00BD2874" w:rsidRPr="00BD2874" w:rsidRDefault="00B065C0" w:rsidP="00BD2874">
      <w:pPr>
        <w:pStyle w:val="PKTpunkt"/>
      </w:pPr>
      <w:r>
        <w:t>3</w:t>
      </w:r>
      <w:r w:rsidR="00BD2874" w:rsidRPr="00BD2874">
        <w:t>)</w:t>
      </w:r>
      <w:r w:rsidR="00BD2874">
        <w:tab/>
      </w:r>
      <w:r w:rsidR="00BD2874" w:rsidRPr="00BD2874">
        <w:t xml:space="preserve"> EATMN – (European Air Traffic Management Network) – europejską sieć zarządzania ruchem lotniczym;</w:t>
      </w:r>
    </w:p>
    <w:p w:rsidR="00BD2874" w:rsidRPr="00BD2874" w:rsidRDefault="00B065C0" w:rsidP="00BD2874">
      <w:pPr>
        <w:pStyle w:val="PKTpunkt"/>
      </w:pPr>
      <w:r>
        <w:t>4</w:t>
      </w:r>
      <w:r w:rsidR="00BD2874" w:rsidRPr="00BD2874">
        <w:t>)</w:t>
      </w:r>
      <w:r w:rsidR="00BD2874">
        <w:tab/>
      </w:r>
      <w:r w:rsidR="00BD2874" w:rsidRPr="00BD2874">
        <w:t>GBAS – (Ground Based Augmentation System) – system wspomagający oparty na urządzeniach naziemnych;</w:t>
      </w:r>
    </w:p>
    <w:p w:rsidR="00BD2874" w:rsidRPr="00BD2874" w:rsidRDefault="00B065C0" w:rsidP="00BD2874">
      <w:pPr>
        <w:pStyle w:val="PKTpunkt"/>
      </w:pPr>
      <w:r>
        <w:t>5</w:t>
      </w:r>
      <w:r w:rsidR="00BD2874" w:rsidRPr="00BD2874">
        <w:t>)</w:t>
      </w:r>
      <w:r w:rsidR="00BD2874">
        <w:tab/>
      </w:r>
      <w:r w:rsidR="00BD2874" w:rsidRPr="00BD2874">
        <w:t>ICAO – Organizację Międzynarodowego Lotnictwa Cywilnego;</w:t>
      </w:r>
    </w:p>
    <w:p w:rsidR="00BD2874" w:rsidRPr="00BD2874" w:rsidRDefault="00B065C0" w:rsidP="00BD2874">
      <w:pPr>
        <w:pStyle w:val="PKTpunkt"/>
      </w:pPr>
      <w:r>
        <w:lastRenderedPageBreak/>
        <w:t>6</w:t>
      </w:r>
      <w:r w:rsidR="00BD2874" w:rsidRPr="00BD2874">
        <w:t>)</w:t>
      </w:r>
      <w:r w:rsidR="00BD2874">
        <w:tab/>
      </w:r>
      <w:r w:rsidR="00BD2874" w:rsidRPr="00BD2874">
        <w:t>Konwencja – Konwencję o międzynarodowym lotnictwie cywilnym, sporządzoną w Chicago dnia 7 grudnia 1944 r. (Dz. U. z 1959 r. Nr 35, poz. 212 i 214, z późn. zm.</w:t>
      </w:r>
      <w:r w:rsidR="00BD2874">
        <w:rPr>
          <w:rStyle w:val="Odwoanieprzypisudolnego"/>
        </w:rPr>
        <w:footnoteReference w:id="3"/>
      </w:r>
      <w:r w:rsidR="00BD2874" w:rsidRPr="00BD2874">
        <w:rPr>
          <w:rStyle w:val="IGindeksgrny"/>
        </w:rPr>
        <w:t>)</w:t>
      </w:r>
      <w:r w:rsidR="00BD2874" w:rsidRPr="00BD2874">
        <w:t>);</w:t>
      </w:r>
    </w:p>
    <w:p w:rsidR="00BD2874" w:rsidRPr="00BD2874" w:rsidRDefault="00B065C0" w:rsidP="00BD2874">
      <w:pPr>
        <w:pStyle w:val="PKTpunkt"/>
      </w:pPr>
      <w:r>
        <w:t>7</w:t>
      </w:r>
      <w:r w:rsidR="00BD2874" w:rsidRPr="00BD2874">
        <w:t>)</w:t>
      </w:r>
      <w:r w:rsidR="00BD2874">
        <w:tab/>
      </w:r>
      <w:r w:rsidR="00BD2874" w:rsidRPr="00BD2874">
        <w:t>LUN – lotnicze urządzenia naziemne, o których mowa w art. 86 ust. 1 ustawy z dnia 3 lipca 2002 r. – Prawo lotnicze;</w:t>
      </w:r>
    </w:p>
    <w:p w:rsidR="00BD2874" w:rsidRPr="00BD2874" w:rsidRDefault="00B065C0" w:rsidP="00BD2874">
      <w:pPr>
        <w:pStyle w:val="PKTpunkt"/>
      </w:pPr>
      <w:r>
        <w:t>8</w:t>
      </w:r>
      <w:r w:rsidR="00BD2874" w:rsidRPr="00BD2874">
        <w:t>)</w:t>
      </w:r>
      <w:r w:rsidR="00BD2874">
        <w:tab/>
      </w:r>
      <w:r w:rsidR="00BD2874" w:rsidRPr="00BD2874">
        <w:t>NOTAM – (Notice To Airmen) – wiadomość rozpowszechnianą za pomocą środków telekomunikacyjnych, zawierającą informacje o ustanowieniu, stanie lub zmianach urządzeń lotniczych, służbach, procedurach, a także o niebezpieczeństwie, których znajomość we właściwym czasie jest istotna dla personelu związanego z operacjami lotniczymi;</w:t>
      </w:r>
    </w:p>
    <w:p w:rsidR="00BD2874" w:rsidRPr="00BD2874" w:rsidRDefault="00B065C0" w:rsidP="00BD2874">
      <w:pPr>
        <w:pStyle w:val="PKTpunkt"/>
      </w:pPr>
      <w:r>
        <w:t>9</w:t>
      </w:r>
      <w:r w:rsidR="00BD2874" w:rsidRPr="00BD2874">
        <w:t>)</w:t>
      </w:r>
      <w:r w:rsidR="00BD2874">
        <w:tab/>
      </w:r>
      <w:r w:rsidR="00BD2874" w:rsidRPr="00BD2874">
        <w:t>personel techniczny – osoby odpowiednio wykwalifikowane, wyznaczone i upoważnione do obsługi i naprawy LUN;</w:t>
      </w:r>
    </w:p>
    <w:p w:rsidR="00BD2874" w:rsidRPr="00BD2874" w:rsidRDefault="00B065C0" w:rsidP="00BD2874">
      <w:pPr>
        <w:pStyle w:val="PKTpunkt"/>
      </w:pPr>
      <w:r>
        <w:t>10</w:t>
      </w:r>
      <w:r w:rsidR="00BD2874" w:rsidRPr="00BD2874">
        <w:t>)</w:t>
      </w:r>
      <w:r w:rsidR="00BD2874">
        <w:tab/>
      </w:r>
      <w:r w:rsidR="00BD2874" w:rsidRPr="00BD2874">
        <w:t>Prezes Urzędu – Prezesa Urzędu Lotnictwa Cywilnego;</w:t>
      </w:r>
    </w:p>
    <w:p w:rsidR="00BD2874" w:rsidRPr="00BD2874" w:rsidRDefault="00BD2874" w:rsidP="00BD2874">
      <w:pPr>
        <w:pStyle w:val="PKTpunkt"/>
      </w:pPr>
      <w:r w:rsidRPr="00BD2874">
        <w:t>1</w:t>
      </w:r>
      <w:r w:rsidR="00B065C0">
        <w:t>1</w:t>
      </w:r>
      <w:r w:rsidRPr="00BD2874">
        <w:t>)</w:t>
      </w:r>
      <w:r>
        <w:tab/>
      </w:r>
      <w:r w:rsidRPr="00BD2874">
        <w:t>producent – podmiot wytwarzający LUN;</w:t>
      </w:r>
    </w:p>
    <w:p w:rsidR="00BD2874" w:rsidRPr="00BD2874" w:rsidRDefault="00BD2874" w:rsidP="00BD2874">
      <w:pPr>
        <w:pStyle w:val="PKTpunkt"/>
      </w:pPr>
      <w:r w:rsidRPr="00BD2874">
        <w:t>1</w:t>
      </w:r>
      <w:r w:rsidR="00B065C0">
        <w:t>2</w:t>
      </w:r>
      <w:r w:rsidRPr="00BD2874">
        <w:t>)</w:t>
      </w:r>
      <w:r>
        <w:tab/>
      </w:r>
      <w:r w:rsidRPr="00BD2874">
        <w:t>przestrzeń pokrycia – obszar przestrzeni powietrznej objęty sygnałem pochodzącym z promieniowania LUN;</w:t>
      </w:r>
    </w:p>
    <w:p w:rsidR="00BD2874" w:rsidRPr="00BD2874" w:rsidRDefault="00BD2874" w:rsidP="00BD2874">
      <w:pPr>
        <w:pStyle w:val="PKTpunkt"/>
      </w:pPr>
      <w:r w:rsidRPr="00BD2874">
        <w:t>1</w:t>
      </w:r>
      <w:r w:rsidR="00B065C0">
        <w:t>3</w:t>
      </w:r>
      <w:r w:rsidRPr="00BD2874">
        <w:t>)</w:t>
      </w:r>
      <w:r>
        <w:tab/>
      </w:r>
      <w:r w:rsidRPr="00BD2874">
        <w:t>rejestr – rejestr lotniczych urządzeń naziemnych, o którym mowa w art. 88 ustawy z dnia 3 lipca 2002 r. – Prawo lotnicze;</w:t>
      </w:r>
    </w:p>
    <w:p w:rsidR="00BD2874" w:rsidRPr="00BD2874" w:rsidRDefault="00BD2874" w:rsidP="00BD2874">
      <w:pPr>
        <w:pStyle w:val="PKTpunkt"/>
      </w:pPr>
      <w:r w:rsidRPr="00BD2874">
        <w:t>1</w:t>
      </w:r>
      <w:r w:rsidR="00B065C0">
        <w:t>4</w:t>
      </w:r>
      <w:r w:rsidRPr="00BD2874">
        <w:t>)</w:t>
      </w:r>
      <w:r>
        <w:tab/>
      </w:r>
      <w:r w:rsidRPr="00BD2874">
        <w:t>SAT  – (Site Acceptance Test) – sprawdzenie poprawności działania urządzenia po jego zainstalowaniu w docelowym miejscu pracy;</w:t>
      </w:r>
    </w:p>
    <w:p w:rsidR="00BD2874" w:rsidRPr="00BD2874" w:rsidRDefault="00BD2874" w:rsidP="00BD2874">
      <w:pPr>
        <w:pStyle w:val="PKTpunkt"/>
      </w:pPr>
      <w:r w:rsidRPr="00BD2874">
        <w:t>1</w:t>
      </w:r>
      <w:r w:rsidR="00B065C0">
        <w:t>5</w:t>
      </w:r>
      <w:r w:rsidRPr="00BD2874">
        <w:t>)</w:t>
      </w:r>
      <w:r>
        <w:tab/>
      </w:r>
      <w:r w:rsidRPr="00BD2874">
        <w:t>Urząd – Urząd Lotnictwa Cywilnego;</w:t>
      </w:r>
    </w:p>
    <w:p w:rsidR="00BD2874" w:rsidRPr="00BD2874" w:rsidRDefault="00BD2874" w:rsidP="00BD2874">
      <w:pPr>
        <w:pStyle w:val="PKTpunkt"/>
      </w:pPr>
      <w:r w:rsidRPr="00BD2874">
        <w:t>1</w:t>
      </w:r>
      <w:r w:rsidR="00B065C0">
        <w:t>6</w:t>
      </w:r>
      <w:r w:rsidRPr="00BD2874">
        <w:t>)</w:t>
      </w:r>
      <w:r>
        <w:tab/>
      </w:r>
      <w:r w:rsidRPr="00BD2874">
        <w:t>ustawa – ustawę z dnia 3 lipca 2002 r. – Prawo lotnicze;</w:t>
      </w:r>
    </w:p>
    <w:p w:rsidR="00BD2874" w:rsidRPr="00BD2874" w:rsidRDefault="00BD2874" w:rsidP="00BD2874">
      <w:pPr>
        <w:pStyle w:val="PKTpunkt"/>
        <w:keepNext/>
      </w:pPr>
      <w:r w:rsidRPr="00BD2874">
        <w:t>1</w:t>
      </w:r>
      <w:r w:rsidR="00A14347">
        <w:t>7</w:t>
      </w:r>
      <w:r w:rsidRPr="00BD2874">
        <w:t>)</w:t>
      </w:r>
      <w:r>
        <w:tab/>
      </w:r>
      <w:r w:rsidRPr="00BD2874">
        <w:t>podmiot uprawniony – podmiot uprawniony do wykonywania operacji lotniczych patrolowania, obserwacji lub inspekcji: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na podstawie certyfikatu usług lotniczych AWC (Aerial Works Certificate), albo</w:t>
      </w:r>
    </w:p>
    <w:p w:rsidR="00093D3C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zgłoszenia do Prezesa Urzędu zarobkowych operacji specjalistycznych.</w:t>
      </w:r>
    </w:p>
    <w:p w:rsidR="00BD2874" w:rsidRPr="00BD2874" w:rsidRDefault="00BD2874" w:rsidP="00093D3C">
      <w:pPr>
        <w:pStyle w:val="ROZDZODDZOZNoznaczenierozdziauluboddziau"/>
      </w:pPr>
      <w:r w:rsidRPr="00BD2874">
        <w:lastRenderedPageBreak/>
        <w:t>Rozdział 2</w:t>
      </w:r>
    </w:p>
    <w:p w:rsidR="00BD2874" w:rsidRPr="00BD2874" w:rsidRDefault="00BD2874" w:rsidP="00BD2874">
      <w:pPr>
        <w:pStyle w:val="ROZDZODDZPRZEDMprzedmiotregulacjirozdziauluboddziau"/>
      </w:pPr>
      <w:r w:rsidRPr="00BD2874">
        <w:t>Zasady klasyfikacji LUN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t>§ 3.</w:t>
      </w:r>
      <w:r>
        <w:t> </w:t>
      </w:r>
      <w:r w:rsidRPr="00BD2874">
        <w:t>LUN ze względu na funkcję, dzielą się zgodnie z art. 88 ust. 3 ustawy na klasy:</w:t>
      </w:r>
    </w:p>
    <w:p w:rsidR="00BD2874" w:rsidRPr="00BD2874" w:rsidRDefault="00BD2874" w:rsidP="00BD2874">
      <w:pPr>
        <w:pStyle w:val="PKTpunkt"/>
        <w:keepNext/>
      </w:pPr>
      <w:r w:rsidRPr="00BD2874">
        <w:t>1)</w:t>
      </w:r>
      <w:r>
        <w:tab/>
      </w:r>
      <w:r w:rsidRPr="00BD2874">
        <w:t xml:space="preserve">COM (Communications) – urządzenia łączności, zwane dalej </w:t>
      </w:r>
      <w:r>
        <w:t>„</w:t>
      </w:r>
      <w:r w:rsidRPr="00BD2874">
        <w:t>COM</w:t>
      </w:r>
      <w:r>
        <w:t>”</w:t>
      </w:r>
      <w:r w:rsidRPr="00BD2874">
        <w:t>, zapewniające co najmniej: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ruchomą analogową i cyfrową łączność pomiędzy statkami powietrznymi a stacjami zainstalowanymi na powierzchni ziemi, pokładzie statku powietrznego lub platformie morskiej, wykorzystujące fale radiowe, przeznaczone dla ruchomej służby lotniczej,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stałą łączność zapewniającą transmisję danych i głosu pomiędzy określonymi lotniczymi stacjami stałymi, połączonymi ze sobą liniami telekomunikacyjnymi, przeznaczone dla służb zarządzania ruchem lotniczym,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automatyczną rejestrację korespondencji pochodzącej z urządzeń, o których mowa w lit. a i b;</w:t>
      </w:r>
    </w:p>
    <w:p w:rsidR="00BD2874" w:rsidRPr="00BD2874" w:rsidRDefault="00BD2874" w:rsidP="00BD2874">
      <w:pPr>
        <w:pStyle w:val="PKTpunkt"/>
        <w:keepNext/>
      </w:pPr>
      <w:r w:rsidRPr="00BD2874">
        <w:t>2)</w:t>
      </w:r>
      <w:r>
        <w:tab/>
      </w:r>
      <w:r w:rsidRPr="00BD2874">
        <w:t xml:space="preserve">SUR (Surveillance) – urządzenia radiolokacyjne, zwane dalej </w:t>
      </w:r>
      <w:r>
        <w:t>„</w:t>
      </w:r>
      <w:r w:rsidRPr="00BD2874">
        <w:t>SUR</w:t>
      </w:r>
      <w:r>
        <w:t>”</w:t>
      </w:r>
      <w:r w:rsidRPr="00BD2874">
        <w:t>, zapewniające informację o pozycji, identyfikacji i statusie statków powietrznych w przestrzeni pokrycia albo pojazdów naziemnych i statków powietrznych znajdujących się w polu ruchu naziemnego, w szczególności: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PSR (Primary Surveillance Radar) – pierwotne radary dozorowania,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SSR (Secondary Surveillance Radar) – wtórne radary dozorowania,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SMR (Surface Movement Radar) – radary kontroli ruchu naziemnego,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ADS (Automatic Dependent Surveillance) – automatyczne systemy dozorowania zależnego,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WAM (Wide Area Multilateration) – multilateracyjne systemy dozorowania obszarowego lub LAM (Local Area Multilateration) – multilateracyjne systemy dozorowania lokalnego;</w:t>
      </w:r>
    </w:p>
    <w:p w:rsidR="00BD2874" w:rsidRPr="00BD2874" w:rsidRDefault="00BD2874" w:rsidP="00BD2874">
      <w:pPr>
        <w:pStyle w:val="PKTpunkt"/>
        <w:keepNext/>
      </w:pPr>
      <w:r w:rsidRPr="00BD2874">
        <w:t>3)</w:t>
      </w:r>
      <w:r>
        <w:tab/>
      </w:r>
      <w:r w:rsidRPr="00BD2874">
        <w:t xml:space="preserve">NAV (Navigation) – urządzenia radionawigacyjne, zwane dalej </w:t>
      </w:r>
      <w:r>
        <w:t>„</w:t>
      </w:r>
      <w:r w:rsidRPr="00BD2874">
        <w:t>NAV</w:t>
      </w:r>
      <w:r>
        <w:t>”</w:t>
      </w:r>
      <w:r w:rsidRPr="00BD2874">
        <w:t>, zapewniające statkom powietrznym w przestrzeni pokrycia informację o ich pozycji, w szczególności: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NDB (Non–Directional Beacon) – radiolatarnie bezkierunkowe,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VOR (VHF Omni–directional Radio Range) – radiolatarnie ogólnokierunkowe lub DVOR (Doppler VHF Omni–directional Radio  Range) – dopplerowskie radiolatarnie ogólnokierunkowe,</w:t>
      </w:r>
    </w:p>
    <w:p w:rsidR="00BD2874" w:rsidRPr="00BD2874" w:rsidRDefault="00BD2874" w:rsidP="00BD2874">
      <w:pPr>
        <w:pStyle w:val="LITlitera"/>
        <w:rPr>
          <w:lang w:val="en-US"/>
        </w:rPr>
      </w:pPr>
      <w:r w:rsidRPr="00BD2874">
        <w:rPr>
          <w:lang w:val="en-US"/>
        </w:rPr>
        <w:lastRenderedPageBreak/>
        <w:t>c)</w:t>
      </w:r>
      <w:r w:rsidRPr="00BD2874">
        <w:rPr>
          <w:lang w:val="en-US"/>
        </w:rPr>
        <w:tab/>
        <w:t>DME (Distance Measuring Equipment) – radioodległościomierze,</w:t>
      </w:r>
    </w:p>
    <w:p w:rsidR="00BD2874" w:rsidRPr="00BD2874" w:rsidRDefault="00BD2874" w:rsidP="00BD2874">
      <w:pPr>
        <w:pStyle w:val="LITlitera"/>
        <w:rPr>
          <w:lang w:val="en-US"/>
        </w:rPr>
      </w:pPr>
      <w:r w:rsidRPr="00BD2874">
        <w:rPr>
          <w:lang w:val="en-US"/>
        </w:rPr>
        <w:t>d)</w:t>
      </w:r>
      <w:r w:rsidRPr="00BD2874">
        <w:rPr>
          <w:lang w:val="en-US"/>
        </w:rPr>
        <w:tab/>
        <w:t>ILS LOC/ILS LLZ (Instrument Landing System – Localizer) – radiolatarnie kierunku systemu ILS,</w:t>
      </w:r>
    </w:p>
    <w:p w:rsidR="00BD2874" w:rsidRPr="00BD2874" w:rsidRDefault="00BD2874" w:rsidP="00BD2874">
      <w:pPr>
        <w:pStyle w:val="LITlitera"/>
        <w:rPr>
          <w:lang w:val="en-US"/>
        </w:rPr>
      </w:pPr>
      <w:r w:rsidRPr="00BD2874">
        <w:rPr>
          <w:lang w:val="en-US"/>
        </w:rPr>
        <w:t>e)</w:t>
      </w:r>
      <w:r w:rsidRPr="00BD2874">
        <w:rPr>
          <w:lang w:val="en-US"/>
        </w:rPr>
        <w:tab/>
        <w:t>ILS GP/ILS GS (Instrument Landing System – Glide Path/Slope) – radiolatarnie ścieżki schodzenia systemu ILS;</w:t>
      </w:r>
    </w:p>
    <w:p w:rsidR="00BD2874" w:rsidRPr="00BD2874" w:rsidRDefault="00BD2874" w:rsidP="00BD2874">
      <w:pPr>
        <w:pStyle w:val="LITlitera"/>
      </w:pPr>
      <w:r w:rsidRPr="00BD2874">
        <w:t>f)</w:t>
      </w:r>
      <w:r>
        <w:tab/>
      </w:r>
      <w:r w:rsidRPr="00BD2874">
        <w:t>GBAS (Ground Based Augmentation System) – systemy wspomagające oparte na urządzeniach naziemnych;</w:t>
      </w:r>
    </w:p>
    <w:p w:rsidR="00BD2874" w:rsidRPr="00BD2874" w:rsidRDefault="00BD2874" w:rsidP="00BD2874">
      <w:pPr>
        <w:pStyle w:val="PKTpunkt"/>
        <w:keepNext/>
      </w:pPr>
      <w:r w:rsidRPr="00BD2874">
        <w:t>4)</w:t>
      </w:r>
      <w:r>
        <w:tab/>
      </w:r>
      <w:r w:rsidRPr="00BD2874">
        <w:t xml:space="preserve">VAN (Visual Aids for Navigation) – wzrokowe pomoce nawigacyjne, zwane dalej </w:t>
      </w:r>
      <w:r>
        <w:t>„</w:t>
      </w:r>
      <w:r w:rsidRPr="00BD2874">
        <w:t>VAN</w:t>
      </w:r>
      <w:r>
        <w:t>”</w:t>
      </w:r>
      <w:r w:rsidRPr="00BD2874">
        <w:t>, zapewniające statkom powietrznym pomoce nawigacyjne zainstalowane na stałe na terenie albo w rejonie lotniska</w:t>
      </w:r>
      <w:r w:rsidR="009868EF">
        <w:t xml:space="preserve">, w </w:t>
      </w:r>
      <w:r w:rsidR="00554C51">
        <w:t>skład których wchodzą</w:t>
      </w:r>
      <w:r w:rsidRPr="00BD2874">
        <w:t>:</w:t>
      </w:r>
    </w:p>
    <w:p w:rsidR="00BD2874" w:rsidRPr="00BD2874" w:rsidRDefault="00BD2874" w:rsidP="00BD2874">
      <w:pPr>
        <w:pStyle w:val="LITlitera"/>
        <w:keepNext/>
      </w:pPr>
      <w:r w:rsidRPr="00BD2874">
        <w:t>a)</w:t>
      </w:r>
      <w:r>
        <w:tab/>
      </w:r>
      <w:r w:rsidRPr="00BD2874">
        <w:t>świetlne systemy podejścia (Approach Lighting Systems):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uproszczone,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precyzyjnego kategorii I,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precyzyjnego kategorii II/III,</w:t>
      </w:r>
    </w:p>
    <w:p w:rsidR="00BD2874" w:rsidRPr="00BD2874" w:rsidRDefault="00BD2874" w:rsidP="00BD2874">
      <w:pPr>
        <w:pStyle w:val="LITlitera"/>
        <w:keepNext/>
      </w:pPr>
      <w:r w:rsidRPr="00BD2874">
        <w:t>b)</w:t>
      </w:r>
      <w:r>
        <w:tab/>
      </w:r>
      <w:r w:rsidRPr="00BD2874">
        <w:t>systemy świateł drogi startowej, w których skład wchodzą światła: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krawędzi drogi startowej,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progu drogi startowej oraz światła poprzeczki skrzydłowej,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końca drogi startowej,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osi drogi startowej,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strefy przyziemienia,</w:t>
      </w:r>
    </w:p>
    <w:p w:rsidR="00BD2874" w:rsidRPr="00BD2874" w:rsidRDefault="00BD2874" w:rsidP="00BD2874">
      <w:pPr>
        <w:pStyle w:val="LITlitera"/>
        <w:keepNext/>
      </w:pPr>
      <w:r w:rsidRPr="00BD2874">
        <w:t>c)</w:t>
      </w:r>
      <w:r>
        <w:tab/>
      </w:r>
      <w:r w:rsidRPr="00BD2874">
        <w:t>systemy wzrokowych wskaźników ścieżki podejścia, w których skład wchodzą: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 xml:space="preserve">wskaźniki ścieżki podejścia precyzyjnego PAPI (Precision Approach Path Indicator), zwane dalej </w:t>
      </w:r>
      <w:r>
        <w:t>„</w:t>
      </w:r>
      <w:r w:rsidRPr="00BD2874">
        <w:t>PAPI</w:t>
      </w:r>
      <w:r>
        <w:t>”</w:t>
      </w:r>
      <w:r w:rsidRPr="00BD2874">
        <w:t>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 xml:space="preserve">uproszczone wskaźniki ścieżki podejścia precyzyjnego APAPI (Abbreviated Precision Approach Path Indicator), zwane dalej </w:t>
      </w:r>
      <w:r>
        <w:t>„</w:t>
      </w:r>
      <w:r w:rsidRPr="00BD2874">
        <w:t>APAPI</w:t>
      </w:r>
      <w:r>
        <w:t>”</w:t>
      </w:r>
      <w:r w:rsidRPr="00BD2874">
        <w:t>,</w:t>
      </w:r>
    </w:p>
    <w:p w:rsidR="00BD2874" w:rsidRPr="00BD2874" w:rsidRDefault="00BD2874" w:rsidP="00BD2874">
      <w:pPr>
        <w:pStyle w:val="LITlitera"/>
        <w:keepNext/>
      </w:pPr>
      <w:r w:rsidRPr="00BD2874">
        <w:t>d)</w:t>
      </w:r>
      <w:r>
        <w:tab/>
      </w:r>
      <w:r w:rsidRPr="00BD2874">
        <w:t>systemy świateł drogi kołowania, w których skład wchodzą światła: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osi drogi kołowania,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krawędzi drogi kołowania,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poprzeczki zatrzymania,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pośredniego miejsca oczekiwania,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ochronne drogi startowej,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wskazania drogi szybkiego zjazdu RETILS,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systemy podświetlanych znaków pionowych,</w:t>
      </w:r>
    </w:p>
    <w:p w:rsidR="00BD2874" w:rsidRPr="00BD2874" w:rsidRDefault="00BD2874" w:rsidP="00BD2874">
      <w:pPr>
        <w:pStyle w:val="LITlitera"/>
        <w:keepNext/>
      </w:pPr>
      <w:r w:rsidRPr="00BD2874">
        <w:lastRenderedPageBreak/>
        <w:t>f)</w:t>
      </w:r>
      <w:r>
        <w:tab/>
      </w:r>
      <w:r w:rsidRPr="00BD2874">
        <w:t>systemy świetlne lotnisk dla śmigłowców, w których skład wchodzą: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systemy świateł strefy końcowego podejścia i startu FATO (Final Approach and Takeoff Area),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systemy świateł strefy przyziemienia i oderwania od ziemi TLOF (Touchdown Lift–Off Surface),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świetlne systemy podejść do lądowania dla śmigłowców,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świetlne systemy naprowadzania,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wskaźniki ścieżki podejścia dla śmigłowców HAPI (Helicopter Approach Path Indicator);</w:t>
      </w:r>
    </w:p>
    <w:p w:rsidR="00BD2874" w:rsidRPr="00BD2874" w:rsidRDefault="00BD2874" w:rsidP="00BD2874">
      <w:pPr>
        <w:pStyle w:val="PKTpunkt"/>
        <w:keepNext/>
      </w:pPr>
      <w:r w:rsidRPr="00BD2874">
        <w:t>5)</w:t>
      </w:r>
      <w:r>
        <w:tab/>
      </w:r>
      <w:r w:rsidRPr="00BD2874">
        <w:t xml:space="preserve">MET (Meteorological) – automatyczne systemy pomiarowe parametrów meteorologicznych, zwane dalej </w:t>
      </w:r>
      <w:r>
        <w:t>„</w:t>
      </w:r>
      <w:r w:rsidRPr="00BD2874">
        <w:t>MET</w:t>
      </w:r>
      <w:r>
        <w:t>”</w:t>
      </w:r>
      <w:r w:rsidRPr="00BD2874">
        <w:t>, zapewniające dane meteorologiczne dla potrzeb służb żeglugi powietrznej, w szczególności: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systemy AWOS (Automated Weather Observing System) kategorii 1–3 na lotniskach z drogami startowymi przeznaczonymi dla operacji w kategorii I–III precyzyjnych podejść i lądowań, o których mowa w pkt 4.1.5 oraz 4.1.6 Załącznika 3 do Konwencji, ogłaszanego w Dzienniku Urzędowym Urzędu Lotnictwa Cywilnego, zgodnie z art. 23 ust. 2 pkt 1 ustawy,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systemy AWOS przeznaczone dla operacji nieprecyzyjnych podejść i lądowań,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radary meteorologiczne,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systemy detekcji i lokalizacji wyładowań atmosferycznych;</w:t>
      </w:r>
    </w:p>
    <w:p w:rsidR="00BD2874" w:rsidRPr="00BD2874" w:rsidRDefault="00BD2874" w:rsidP="00BD2874">
      <w:pPr>
        <w:pStyle w:val="PKTpunkt"/>
      </w:pPr>
      <w:r w:rsidRPr="00BD2874">
        <w:t>6)</w:t>
      </w:r>
      <w:r>
        <w:tab/>
      </w:r>
      <w:r w:rsidRPr="00BD2874">
        <w:t xml:space="preserve">DP (Data Processing) – urządzenia i systemy przetwarzania i zobrazowania danych, zwane dalej </w:t>
      </w:r>
      <w:r>
        <w:t>„</w:t>
      </w:r>
      <w:r w:rsidRPr="00BD2874">
        <w:t>DP</w:t>
      </w:r>
      <w:r>
        <w:t>”</w:t>
      </w:r>
      <w:r w:rsidRPr="00BD2874">
        <w:t>, zapewniające przetwarzanie i zobrazowanie danych dozorowania i danych o planach lotów w celu operacyjnego zabezpieczenia żeglugi powietrznej.</w:t>
      </w:r>
    </w:p>
    <w:p w:rsidR="00BD2874" w:rsidRPr="00BD2874" w:rsidRDefault="00BD2874" w:rsidP="00BD2874">
      <w:pPr>
        <w:pStyle w:val="ROZDZODDZOZNoznaczenierozdziauluboddziau"/>
      </w:pPr>
      <w:r w:rsidRPr="00BD2874">
        <w:t>Rozdział 3</w:t>
      </w:r>
    </w:p>
    <w:p w:rsidR="00BD2874" w:rsidRPr="00BD2874" w:rsidRDefault="00BD2874" w:rsidP="00BD2874">
      <w:pPr>
        <w:pStyle w:val="ROZDZODDZPRZEDMprzedmiotregulacjirozdziauluboddziau"/>
      </w:pPr>
      <w:r w:rsidRPr="00BD2874">
        <w:t>Warunki techniczne oraz eksploatacyjne LUN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t>§ 4.</w:t>
      </w:r>
      <w:r>
        <w:t> </w:t>
      </w:r>
      <w:r w:rsidRPr="00BD2874">
        <w:t>1. Warunki techniczne i eksploatacyjne oraz wymagania, jakie powinny spełniać LUN</w:t>
      </w:r>
      <w:r w:rsidR="00554C51">
        <w:t>,</w:t>
      </w:r>
      <w:r w:rsidRPr="00BD2874">
        <w:t xml:space="preserve"> aby mogły być wykorzystywane do operacyjnego zabezpieczenia żeglugi powietrznej, określają:</w:t>
      </w:r>
    </w:p>
    <w:p w:rsidR="00BD2874" w:rsidRPr="00BD2874" w:rsidRDefault="00BD2874" w:rsidP="00BD2874">
      <w:pPr>
        <w:pStyle w:val="PKTpunkt"/>
        <w:keepNext/>
      </w:pPr>
      <w:r w:rsidRPr="00BD2874">
        <w:t>1)</w:t>
      </w:r>
      <w:r w:rsidR="00C04A39">
        <w:t xml:space="preserve"> </w:t>
      </w:r>
      <w:r w:rsidRPr="00BD2874">
        <w:t>przepisy rozporządze</w:t>
      </w:r>
      <w:r w:rsidR="00554C51">
        <w:t>nia</w:t>
      </w:r>
      <w:r w:rsidRPr="00BD2874">
        <w:t>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 xml:space="preserve">Parlamentu Europejskiego i Rady (WE) nr 552/2004 z dnia 10 marca 2004 r. w sprawie interoperacyjności Europejskiej Sieci Zarządzania Ruchem Lotniczym (Dz. </w:t>
      </w:r>
      <w:r w:rsidRPr="00BD2874">
        <w:lastRenderedPageBreak/>
        <w:t>Urz. UE L 96 z 31.03.2004, str. 26, z późn. zm.; Dz. Urz. UE Polskie wydanie specjalne, rozdz. 7, t. 8, str. 46, z późn. zm.),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wykonawczego Komisji (UE) nr 1035/2011 z dnia 17 października 2011 r. ustanawiające wspólne wymogi dotyczące zapewniania służb żeglugi powietrznej oraz zmieniającego rozporządzenia (WE) nr 482/2008 i (UE) nr 691/2010 (Dz. Urz. UE L 271 z 18.10.2011, str. 23</w:t>
      </w:r>
      <w:r w:rsidR="00F36A99">
        <w:t>, z późn. zm.</w:t>
      </w:r>
      <w:r w:rsidRPr="00BD2874">
        <w:t>),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Komisji (WE) nr 1032/2006 z dnia 6 lipca 2006 r. ustanawiającego wymagania dla automatycznych systemów wymiany danych lotniczych dla celów powiadamiania, koordynacji i przekazywania kontroli nad lotem pomiędzy organami kontroli ruchu lotniczego (Dz. Urz. UE L 186 z 07.07.2006, str. 27</w:t>
      </w:r>
      <w:r w:rsidR="00F36A99">
        <w:t>, z późn. zm.</w:t>
      </w:r>
      <w:r w:rsidRPr="00BD2874">
        <w:t>),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Komisji (WE) nr 633/2007 z dnia 7 czerwca 2007 r. ustanawiającego wymagania w zakresie stosowania protokołu przesyłania komunikatów lotniczych do celów powiadamiania, koordynowania i przekazywania lotów pomiędzy organami kontroli ruchu lotniczego (Dz. Urz. UE L 146 z 08.06.2007, str. 7, z późn. zm.),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wykonawczego Komisji (UE) nr 1079/2012 z dnia 16 listopada 2012 r. ustanawiającego wymogi dotyczące separacji międzykanałowej w łączności głosowej dla jednolitej europejskiej przestrzeni powietrznej (Dz. U. L 320 z 17.11.2012, str. 14</w:t>
      </w:r>
      <w:r w:rsidR="00F36A99">
        <w:t>, z późn.zm.</w:t>
      </w:r>
      <w:r w:rsidRPr="00BD2874">
        <w:t>),</w:t>
      </w:r>
    </w:p>
    <w:p w:rsidR="00BD2874" w:rsidRPr="00BD2874" w:rsidRDefault="00BD2874" w:rsidP="00BD2874">
      <w:pPr>
        <w:pStyle w:val="LITlitera"/>
      </w:pPr>
      <w:r w:rsidRPr="00BD2874">
        <w:t>f)</w:t>
      </w:r>
      <w:r>
        <w:tab/>
      </w:r>
      <w:r w:rsidRPr="00BD2874">
        <w:t>wykonawczego Komisji (UE) nr 1034/2011 z dnia 17 października 2011 r. w sprawie nadzoru nad bezpieczeństwem w zarządzaniu ruchem lotniczym i służbach żeglugi powietrznej oraz zmieniającym rozporządzenie (UE) nr 691/2010 (Dz. Urz. UE L 271 z 18.10.2011, str. 15),</w:t>
      </w:r>
    </w:p>
    <w:p w:rsidR="00BD2874" w:rsidRPr="00BD2874" w:rsidRDefault="00BD2874" w:rsidP="00BD2874">
      <w:pPr>
        <w:pStyle w:val="LITlitera"/>
      </w:pPr>
      <w:r w:rsidRPr="00BD2874">
        <w:t>g)</w:t>
      </w:r>
      <w:r>
        <w:tab/>
      </w:r>
      <w:r w:rsidRPr="00BD2874">
        <w:t>Komisji (WE) nr 482/2008 z dnia 30 maja 2008 r. ustanawiającym system zapewnienia bezpieczeństwa oprogramowania do stosowania przez instytucje zapewniające służby żeglugi powietrznej oraz zmieniającym załącznik II do rozporządzenia (WE) nr 2096/2005 (Dz. Urz. UE L 141 z 31.05.2008, str. 5</w:t>
      </w:r>
      <w:r w:rsidR="00653B38">
        <w:t>, z późn. zm.</w:t>
      </w:r>
      <w:r w:rsidRPr="00BD2874">
        <w:t>),</w:t>
      </w:r>
    </w:p>
    <w:p w:rsidR="00BD2874" w:rsidRPr="00BD2874" w:rsidRDefault="00BD2874" w:rsidP="00BD2874">
      <w:pPr>
        <w:pStyle w:val="LITlitera"/>
      </w:pPr>
      <w:r w:rsidRPr="00BD2874">
        <w:t>h)</w:t>
      </w:r>
      <w:r>
        <w:tab/>
      </w:r>
      <w:r w:rsidRPr="00BD2874">
        <w:t>Parlamentu Europejskiego i Rady (WE) nr 216/2008 z dnia 20 lutego 2008 r. w sprawie wspólnych zasad w zakresie lotnictwa cywilnego i utworzenia Europejskiej Agencji Bezpieczeństwa Lotniczego oraz uchylającego dyrektywę Rady 91/670/EWG, rozporządzenie (WE) nr 1592/2002 i dyrektywę 2004/36/WE (Dz. Urz. UE L 079 z 19/03/2008, str. 1, z późn. zm.),</w:t>
      </w:r>
    </w:p>
    <w:p w:rsidR="00BD2874" w:rsidRPr="00BD2874" w:rsidRDefault="00BD2874" w:rsidP="00BD2874">
      <w:pPr>
        <w:pStyle w:val="LITlitera"/>
      </w:pPr>
      <w:r w:rsidRPr="00BD2874">
        <w:lastRenderedPageBreak/>
        <w:t>i)</w:t>
      </w:r>
      <w:r>
        <w:tab/>
      </w:r>
      <w:r w:rsidRPr="00BD2874">
        <w:t>Komisji (WE) nr 29/2009 z dnia 16 stycznia 2009 r. ustanawiającego wymogi dla usług łącza danych w jednolitej europejskiej przestrzeni powietrznej (Dz. Urz. UE L 13 z 17.01.2009, str. 3, sprostowanego Dz. Urz. UE L 104 z 24.04.2009, str. 58</w:t>
      </w:r>
      <w:r w:rsidR="00653B38">
        <w:t>, z późn. zm.</w:t>
      </w:r>
      <w:r w:rsidRPr="00BD2874">
        <w:t>),</w:t>
      </w:r>
    </w:p>
    <w:p w:rsidR="00BD2874" w:rsidRPr="00BD2874" w:rsidRDefault="00BD2874" w:rsidP="00BD2874">
      <w:pPr>
        <w:pStyle w:val="LITlitera"/>
      </w:pPr>
      <w:r w:rsidRPr="00BD2874">
        <w:t>j)</w:t>
      </w:r>
      <w:r>
        <w:tab/>
      </w:r>
      <w:r w:rsidRPr="00BD2874">
        <w:t>wykonawczego Komisji (UE) nr 1207/2011 z dnia 22 listopada 2011 r. ustanawiającego wymogi dotyczące skuteczności działania i interoperacyjności systemów dozorowania w jednolitej europejskiej przestrzeni powietrznej (Dz. Urz. UE L 305 z 23.11.2011, str. 35</w:t>
      </w:r>
      <w:r w:rsidR="00653B38">
        <w:t>, z późn. zm.</w:t>
      </w:r>
      <w:r w:rsidRPr="00BD2874">
        <w:t>),</w:t>
      </w:r>
    </w:p>
    <w:p w:rsidR="00235C97" w:rsidRDefault="00BD2874" w:rsidP="00331999">
      <w:pPr>
        <w:pStyle w:val="LITlitera"/>
      </w:pPr>
      <w:r w:rsidRPr="00BD2874">
        <w:t>k)</w:t>
      </w:r>
      <w:r>
        <w:tab/>
      </w:r>
      <w:r w:rsidRPr="00BD2874">
        <w:t>Komisji (UE) nr 139/2014 z dnia 12 lutego 2014 r. ustanawiającego wymagania oraz procedury administracyjne dotyczące lotnisk zgodnie z rozporządzeniem Parlamentu Europejskiego i Rady (WE) nr 216/2008 (Dz. Urz. UE L 44 z 14.2.2014, str. 1);</w:t>
      </w:r>
      <w:r w:rsidR="00FC6472" w:rsidDel="00FC6472">
        <w:t xml:space="preserve"> </w:t>
      </w:r>
    </w:p>
    <w:p w:rsidR="00BD2874" w:rsidRDefault="00BD2874">
      <w:pPr>
        <w:pStyle w:val="PKTpunkt"/>
      </w:pPr>
      <w:r w:rsidRPr="00BD2874">
        <w:t>2</w:t>
      </w:r>
      <w:r w:rsidR="00B37660">
        <w:t>) przepisy rozporządzenia:</w:t>
      </w:r>
    </w:p>
    <w:p w:rsidR="00B37660" w:rsidRDefault="00C04A39" w:rsidP="00B37660">
      <w:pPr>
        <w:pStyle w:val="LITlitera"/>
      </w:pPr>
      <w:r>
        <w:t xml:space="preserve">a) </w:t>
      </w:r>
      <w:r w:rsidR="00235C97">
        <w:tab/>
      </w:r>
      <w:r w:rsidR="00B37660" w:rsidRPr="003D2873">
        <w:t>Ministra Transportu, Budownictwa i Gospodarki Morskiej z dnia 28 sierpnia 2013 r. w sprawie wymagań technicznych i eksploatacyjnych dla lotnisk użytku publicznego podlegających obowiązkowi certyfikacji (Dz. U. z 2013 r. poz. 1020),</w:t>
      </w:r>
    </w:p>
    <w:p w:rsidR="00B37660" w:rsidRDefault="00C04A39" w:rsidP="00B37660">
      <w:pPr>
        <w:pStyle w:val="LITlitera"/>
      </w:pPr>
      <w:r>
        <w:t>b</w:t>
      </w:r>
      <w:r w:rsidR="00B37660" w:rsidRPr="003D2873">
        <w:t xml:space="preserve">) </w:t>
      </w:r>
      <w:r w:rsidR="00B37660">
        <w:t xml:space="preserve">  </w:t>
      </w:r>
      <w:r w:rsidR="00B37660" w:rsidRPr="003D2873">
        <w:t>Ministra Transportu, Budownictwa i Gospodarki Morskiej z dnia 18 czerwca 2013 r. w sprawie wymagań technicznych i eksploatacyjnych w stosunku do lotnisk użytku publicznego, dla których została wydana decyzja o ograniczonej certyfikacji (Dz. U. z 2013 r. poz. 799</w:t>
      </w:r>
      <w:r w:rsidR="00B37660">
        <w:t>),</w:t>
      </w:r>
    </w:p>
    <w:p w:rsidR="00B37660" w:rsidRPr="00BD2874" w:rsidRDefault="00C04A39" w:rsidP="00B37660">
      <w:pPr>
        <w:pStyle w:val="LITlitera"/>
      </w:pPr>
      <w:r>
        <w:t>c</w:t>
      </w:r>
      <w:r w:rsidR="00B37660" w:rsidRPr="003D2873">
        <w:t xml:space="preserve">) </w:t>
      </w:r>
      <w:r w:rsidR="00B37660">
        <w:t xml:space="preserve">  </w:t>
      </w:r>
      <w:r w:rsidR="00B37660" w:rsidRPr="003D2873">
        <w:t>Ministra Transportu, Budownictwa i Gospodarki Morskiej z dnia 21 czerwca 2013 r. w sprawie wymagań technicznych i eksploatacyjnych w stosunku do lotnisk użytku wyłącznego oraz sposobu i trybu przeprowadzania kontroli sprawdzającej (Dz. U. z 2013 r. poz. 741)</w:t>
      </w:r>
      <w:r>
        <w:t>;</w:t>
      </w:r>
    </w:p>
    <w:p w:rsidR="00BD2874" w:rsidRPr="00BD2874" w:rsidRDefault="00B37660" w:rsidP="00BD2874">
      <w:pPr>
        <w:pStyle w:val="PKTpunkt"/>
        <w:keepNext/>
      </w:pPr>
      <w:r>
        <w:t>3</w:t>
      </w:r>
      <w:r w:rsidR="00BD2874" w:rsidRPr="00BD2874">
        <w:t>)</w:t>
      </w:r>
      <w:r w:rsidR="00C04A39">
        <w:t xml:space="preserve"> </w:t>
      </w:r>
      <w:r w:rsidR="00BD2874" w:rsidRPr="00BD2874">
        <w:t>w odniesieniu do: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COM – tom II, III i V Załącznika 10 do Konwencji,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SUR – tom III i IV Załącznika 10 do Konwencji,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NAV – tom I Załącznika 10 do Konwencji,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MET – Załącznik 3 do Konwencji.</w:t>
      </w:r>
    </w:p>
    <w:p w:rsidR="00BD2874" w:rsidRPr="00BD2874" w:rsidRDefault="00BD2874" w:rsidP="00BD2874">
      <w:pPr>
        <w:pStyle w:val="USTustnpkodeksu"/>
      </w:pPr>
      <w:r w:rsidRPr="00BD2874">
        <w:t>2.</w:t>
      </w:r>
      <w:r>
        <w:t> </w:t>
      </w:r>
      <w:r w:rsidRPr="00BD2874">
        <w:t>Dodatkowe warunki techniczne i eksploatacyjne</w:t>
      </w:r>
      <w:r w:rsidR="00344130">
        <w:t xml:space="preserve"> </w:t>
      </w:r>
      <w:r w:rsidR="00AD6AC7">
        <w:t xml:space="preserve">LUN </w:t>
      </w:r>
      <w:r w:rsidRPr="00BD2874">
        <w:t>określa załącznik nr 1 do rozporządzenia.</w:t>
      </w:r>
    </w:p>
    <w:p w:rsidR="00BD2874" w:rsidRPr="00522135" w:rsidRDefault="00BD2874" w:rsidP="00BD2874">
      <w:pPr>
        <w:pStyle w:val="USTustnpkodeksu"/>
      </w:pPr>
      <w:r w:rsidRPr="00BD2874">
        <w:t>3.</w:t>
      </w:r>
      <w:r>
        <w:t> </w:t>
      </w:r>
      <w:r w:rsidR="00344130" w:rsidRPr="00344130">
        <w:t>T</w:t>
      </w:r>
      <w:r w:rsidR="00344130">
        <w:t>esty, pomiary i d</w:t>
      </w:r>
      <w:r w:rsidRPr="00BD2874">
        <w:t>opuszczalne wartości tolerancji parametrów LUN mierzonych podczas kontroli z powietrza</w:t>
      </w:r>
      <w:r w:rsidR="00522135">
        <w:t xml:space="preserve"> </w:t>
      </w:r>
      <w:r w:rsidRPr="00522135">
        <w:t>okre</w:t>
      </w:r>
      <w:r w:rsidRPr="00522135">
        <w:rPr>
          <w:rFonts w:hint="eastAsia"/>
        </w:rPr>
        <w:t>ś</w:t>
      </w:r>
      <w:r w:rsidRPr="00522135">
        <w:t>la za</w:t>
      </w:r>
      <w:r w:rsidRPr="00522135">
        <w:rPr>
          <w:rFonts w:hint="eastAsia"/>
        </w:rPr>
        <w:t>łą</w:t>
      </w:r>
      <w:r w:rsidRPr="00522135">
        <w:t>cznik nr 2 do rozporz</w:t>
      </w:r>
      <w:r w:rsidRPr="00522135">
        <w:rPr>
          <w:rFonts w:hint="eastAsia"/>
        </w:rPr>
        <w:t>ą</w:t>
      </w:r>
      <w:r w:rsidRPr="00522135">
        <w:t>dzenia.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lastRenderedPageBreak/>
        <w:t>§ 5.</w:t>
      </w:r>
      <w:r>
        <w:t> </w:t>
      </w:r>
      <w:r w:rsidRPr="00BD2874">
        <w:t>Warunkiem eksploatacji LUN jest: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 xml:space="preserve">spełnienie warunków technicznych i eksploatacyjnych oraz wymagań określonych w przepisach, o których mowa w § 4 ust. 1, oraz dodatkowych warunków technicznych i eksploatacyjnych LUN określonych w załączniku nr 1 do rozporządzenia oraz dopuszczalnych wartości tolerancji parametrów </w:t>
      </w:r>
      <w:r w:rsidR="003E5336" w:rsidRPr="00BD2874">
        <w:t xml:space="preserve">LUN </w:t>
      </w:r>
      <w:r w:rsidRPr="00BD2874">
        <w:t>mierzonych podczas kontroli z powietrza określonych w załączniku nr 2 do rozporządzenia;</w:t>
      </w:r>
    </w:p>
    <w:p w:rsidR="00BD2874" w:rsidRPr="00BD2874" w:rsidRDefault="00BD2874" w:rsidP="00BD2874">
      <w:pPr>
        <w:pStyle w:val="PKTpunkt"/>
        <w:keepNext/>
      </w:pPr>
      <w:r w:rsidRPr="00BD2874">
        <w:t>2)</w:t>
      </w:r>
      <w:r>
        <w:tab/>
      </w:r>
      <w:r w:rsidRPr="00BD2874">
        <w:t>wyznaczenie przez zarządzającego LUN stref wolnych od przeszkód lotniczych i obszarów ograniczeń zabudowy,</w:t>
      </w:r>
      <w:r>
        <w:t xml:space="preserve"> </w:t>
      </w:r>
      <w:r w:rsidRPr="00BD2874">
        <w:t>w celu zapewnienia niezakłóconej pracy LUN zgodnie z przepisami:</w:t>
      </w:r>
    </w:p>
    <w:p w:rsidR="00E30E5E" w:rsidRDefault="00E30E5E" w:rsidP="00BD2874">
      <w:pPr>
        <w:pStyle w:val="LITlitera"/>
      </w:pPr>
      <w:r>
        <w:t>a</w:t>
      </w:r>
      <w:r w:rsidR="00BD2874" w:rsidRPr="00BD2874">
        <w:t>)</w:t>
      </w:r>
      <w:r w:rsidR="00BD2874">
        <w:tab/>
      </w:r>
      <w:r w:rsidR="00BD2874" w:rsidRPr="00BD2874">
        <w:t>załącznika Va pkt 3 lit. e rozporządzenia</w:t>
      </w:r>
      <w:r w:rsidR="008E49CD" w:rsidRPr="008E49CD">
        <w:t xml:space="preserve"> Parlamentu Europejskiego i Rady (WE) nr 216/2008 z dnia 20 lutego 2008 r. w sprawie wspólnych zasad w zakresie lotnictwa cywilnego i utworzenia Europejskiej Agencji Bezpieczeństwa Lotniczego oraz uchylającego dyrektywę Rady 91/670/EWG, rozporządzenie (WE) nr 1592/2002 i dyrektywę 2004/36/WE</w:t>
      </w:r>
      <w:r w:rsidR="008E49CD">
        <w:t xml:space="preserve"> </w:t>
      </w:r>
      <w:r w:rsidR="00BD2874" w:rsidRPr="00BD2874">
        <w:t>– w przypadku LUN</w:t>
      </w:r>
      <w:r>
        <w:t xml:space="preserve"> niebędących VAN,</w:t>
      </w:r>
    </w:p>
    <w:p w:rsidR="00BE7267" w:rsidRDefault="00E30E5E" w:rsidP="00BD2874">
      <w:pPr>
        <w:pStyle w:val="LITlitera"/>
      </w:pPr>
      <w:r>
        <w:t xml:space="preserve">b)  </w:t>
      </w:r>
      <w:r w:rsidR="00BE7267" w:rsidRPr="00BE7267">
        <w:rPr>
          <w:lang w:eastAsia="en-US"/>
        </w:rPr>
        <w:t xml:space="preserve">§ 5 pkt 1 lit. d </w:t>
      </w:r>
      <w:r w:rsidR="009E064B">
        <w:t>oraz</w:t>
      </w:r>
      <w:r w:rsidR="00D02162">
        <w:t xml:space="preserve"> </w:t>
      </w:r>
      <w:r w:rsidR="00D02162" w:rsidRPr="00D02162">
        <w:t>§ 13 ust. 1 pkt 4</w:t>
      </w:r>
      <w:r w:rsidR="00D02162">
        <w:t xml:space="preserve"> </w:t>
      </w:r>
      <w:r w:rsidR="00BE7267" w:rsidRPr="00BE7267">
        <w:rPr>
          <w:lang w:eastAsia="en-US"/>
        </w:rPr>
        <w:t>rozporządzenia Ministra Transportu, Budownictwa i Gospodarki Morskiej z dnia 28 sierpnia 2013 r. w sprawie wymagań technicznych i eksploatacyjnych dla lotnisk użytku publicznego podlegających obowiązkowi certyfikacji – w przypadku</w:t>
      </w:r>
      <w:r w:rsidR="00A53C8D">
        <w:t xml:space="preserve"> </w:t>
      </w:r>
      <w:r w:rsidR="00A53C8D" w:rsidRPr="00BD2874">
        <w:t>LUN</w:t>
      </w:r>
      <w:r w:rsidR="00A53C8D">
        <w:t xml:space="preserve"> będących</w:t>
      </w:r>
      <w:r w:rsidR="00BE7267" w:rsidRPr="00BE7267">
        <w:rPr>
          <w:lang w:eastAsia="en-US"/>
        </w:rPr>
        <w:t xml:space="preserve"> VAN</w:t>
      </w:r>
      <w:r w:rsidR="00BE7267">
        <w:t>,</w:t>
      </w:r>
    </w:p>
    <w:p w:rsidR="00BD2874" w:rsidRDefault="00BE7267" w:rsidP="00BD2874">
      <w:pPr>
        <w:pStyle w:val="LITlitera"/>
      </w:pPr>
      <w:r>
        <w:t xml:space="preserve">c)  </w:t>
      </w:r>
      <w:r w:rsidR="00BF76AF" w:rsidRPr="00BF76AF">
        <w:t>§ 21 ust</w:t>
      </w:r>
      <w:r w:rsidR="00C027BF">
        <w:t>.</w:t>
      </w:r>
      <w:r w:rsidR="00BF76AF" w:rsidRPr="00BF76AF">
        <w:t xml:space="preserve"> 1 pkt 4 oraz § 28 ust. 1 pkt 4</w:t>
      </w:r>
      <w:r w:rsidRPr="00BE7267">
        <w:rPr>
          <w:lang w:eastAsia="en-US"/>
        </w:rPr>
        <w:t xml:space="preserve"> rozporządzenia Ministra Transportu, Budownictwa i Gospodarki Morskiej z dnia 18 czerwca 2013 r. w sprawie wymagań technicznych i eksploatacyjnych w stosunku do lotnisk użytku publicznego, dla których została wydana decyzja o ograniczonej certyfikacji – w przypadku </w:t>
      </w:r>
      <w:r w:rsidR="00A53C8D" w:rsidRPr="00BD2874">
        <w:t>LUN</w:t>
      </w:r>
      <w:r w:rsidR="00A53C8D">
        <w:t xml:space="preserve"> będących</w:t>
      </w:r>
      <w:r w:rsidR="00A53C8D" w:rsidRPr="00A53C8D">
        <w:t xml:space="preserve"> </w:t>
      </w:r>
      <w:r w:rsidRPr="00BE7267">
        <w:rPr>
          <w:lang w:eastAsia="en-US"/>
        </w:rPr>
        <w:t>VAN</w:t>
      </w:r>
      <w:r>
        <w:t>,</w:t>
      </w:r>
    </w:p>
    <w:p w:rsidR="00BE7267" w:rsidRPr="00BD2874" w:rsidRDefault="00BE7267" w:rsidP="00BD2874">
      <w:pPr>
        <w:pStyle w:val="LITlitera"/>
      </w:pPr>
      <w:r>
        <w:t xml:space="preserve">d)  </w:t>
      </w:r>
      <w:r w:rsidR="00BF76AF" w:rsidRPr="00BF76AF">
        <w:t>§ 21 ust</w:t>
      </w:r>
      <w:r w:rsidR="00C027BF">
        <w:t>.</w:t>
      </w:r>
      <w:r w:rsidR="00BF76AF" w:rsidRPr="00BF76AF">
        <w:t xml:space="preserve"> 1 pkt 4 oraz § 28 ust. 1 pkt 4</w:t>
      </w:r>
      <w:r w:rsidRPr="00BE7267">
        <w:rPr>
          <w:lang w:eastAsia="en-US"/>
        </w:rPr>
        <w:t xml:space="preserve"> rozporządzenia Ministra Transportu, Budownictwa i Gospodarki Morskiej z dnia 21 czerwca 2013 r. w sprawie wymagań technicznych i eksploatacyjnych w stosunku do lotnisk użytku wyłącznego oraz sposobu i trybu przeprowadzania kontroli sprawdzającej – w przypadku </w:t>
      </w:r>
      <w:r w:rsidR="00A53C8D" w:rsidRPr="00BD2874">
        <w:t>LUN</w:t>
      </w:r>
      <w:r w:rsidR="00A53C8D">
        <w:t xml:space="preserve"> będących</w:t>
      </w:r>
      <w:r w:rsidR="00A53C8D" w:rsidRPr="00A53C8D">
        <w:t xml:space="preserve"> </w:t>
      </w:r>
      <w:r w:rsidRPr="00BE7267">
        <w:rPr>
          <w:lang w:eastAsia="en-US"/>
        </w:rPr>
        <w:t>VAN</w:t>
      </w:r>
      <w:r>
        <w:t>;</w:t>
      </w:r>
    </w:p>
    <w:p w:rsid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>uzyskanie pozytywnego wyniku SAT, a w przypadku VAN – oświadczenia wykonawcy o zainstalowaniu VAN zgodnie z przepisami</w:t>
      </w:r>
      <w:r w:rsidR="00BE7267">
        <w:t>:</w:t>
      </w:r>
      <w:r w:rsidRPr="00BD2874">
        <w:t xml:space="preserve"> </w:t>
      </w:r>
    </w:p>
    <w:p w:rsidR="00BE7267" w:rsidRDefault="00BE7267" w:rsidP="00331999">
      <w:pPr>
        <w:pStyle w:val="LITlitera"/>
      </w:pPr>
      <w:r>
        <w:t>a)</w:t>
      </w:r>
      <w:r w:rsidR="00C81816">
        <w:tab/>
      </w:r>
      <w:r w:rsidRPr="00BE7267">
        <w:rPr>
          <w:lang w:eastAsia="en-US"/>
        </w:rPr>
        <w:t>§ 5 pkt 1 lit. d, pkt 2 lit. a, b</w:t>
      </w:r>
      <w:r w:rsidR="00176BA8">
        <w:t xml:space="preserve"> i</w:t>
      </w:r>
      <w:r w:rsidRPr="00BE7267">
        <w:rPr>
          <w:lang w:eastAsia="en-US"/>
        </w:rPr>
        <w:t xml:space="preserve"> d, pkt 3 lit. k, l</w:t>
      </w:r>
      <w:r w:rsidR="00176BA8">
        <w:t xml:space="preserve"> i</w:t>
      </w:r>
      <w:r w:rsidRPr="00BE7267">
        <w:rPr>
          <w:lang w:eastAsia="en-US"/>
        </w:rPr>
        <w:t xml:space="preserve"> n, § 9 ust. 1</w:t>
      </w:r>
      <w:r w:rsidR="00176BA8">
        <w:t xml:space="preserve"> i</w:t>
      </w:r>
      <w:r w:rsidRPr="00BE7267">
        <w:rPr>
          <w:lang w:eastAsia="en-US"/>
        </w:rPr>
        <w:t xml:space="preserve"> 2, § 13 ust. 1 pkt</w:t>
      </w:r>
      <w:r w:rsidR="00D02162">
        <w:t xml:space="preserve"> 4 i</w:t>
      </w:r>
      <w:r w:rsidRPr="00BE7267">
        <w:rPr>
          <w:lang w:eastAsia="en-US"/>
        </w:rPr>
        <w:t xml:space="preserve"> 5</w:t>
      </w:r>
      <w:r w:rsidR="00176BA8">
        <w:t xml:space="preserve"> oraz</w:t>
      </w:r>
      <w:r w:rsidRPr="00BE7267">
        <w:rPr>
          <w:lang w:eastAsia="en-US"/>
        </w:rPr>
        <w:t xml:space="preserve"> § 14 ust. 1 pkt 2 rozporządzenia Ministra Transportu, Budownictwa i Gospodarki Morskiej z dnia 28 sierpnia 2013 r. w sprawie wymagań technicznych i </w:t>
      </w:r>
      <w:r w:rsidRPr="00BE7267">
        <w:rPr>
          <w:lang w:eastAsia="en-US"/>
        </w:rPr>
        <w:lastRenderedPageBreak/>
        <w:t>eksploatacyjnych dla lotnisk użytku publicznego podlegających obowiązkowi certyfikacji</w:t>
      </w:r>
      <w:r>
        <w:t>,</w:t>
      </w:r>
    </w:p>
    <w:p w:rsidR="00BE7267" w:rsidRDefault="00BE7267" w:rsidP="00331999">
      <w:pPr>
        <w:pStyle w:val="LITlitera"/>
      </w:pPr>
      <w:r>
        <w:t>b)</w:t>
      </w:r>
      <w:r w:rsidR="00C81816">
        <w:tab/>
      </w:r>
      <w:r w:rsidRPr="00BE7267">
        <w:rPr>
          <w:lang w:eastAsia="en-US"/>
        </w:rPr>
        <w:t>§ 17 ust. 2</w:t>
      </w:r>
      <w:r w:rsidR="00176BA8">
        <w:t>–</w:t>
      </w:r>
      <w:r w:rsidR="00F83EBE">
        <w:t xml:space="preserve">8 i </w:t>
      </w:r>
      <w:r w:rsidRPr="00BE7267">
        <w:rPr>
          <w:lang w:eastAsia="en-US"/>
        </w:rPr>
        <w:t>10, § 21 ust. 1 pkt 4, 8</w:t>
      </w:r>
      <w:r w:rsidR="00176BA8">
        <w:t xml:space="preserve"> i</w:t>
      </w:r>
      <w:r w:rsidRPr="00BE7267">
        <w:rPr>
          <w:lang w:eastAsia="en-US"/>
        </w:rPr>
        <w:t xml:space="preserve"> 9, § 22 ust. 1 pkt 2 lit. b, pkt 3 lit. b, pkt 4 lit. b, ust. 2 pkt 3</w:t>
      </w:r>
      <w:r w:rsidR="00176BA8">
        <w:t xml:space="preserve"> oraz</w:t>
      </w:r>
      <w:r w:rsidRPr="00BE7267">
        <w:rPr>
          <w:lang w:eastAsia="en-US"/>
        </w:rPr>
        <w:t xml:space="preserve"> § 28 ust. 1 pkt 4 rozporządzenia Ministra Transportu, Budownictwa i Gospodarki Morskiej z dnia 18 czerwca 2013 r. w sprawie wymagań technicznych i eksploatacyjnych w stosunku do lotnisk użytku publicznego, dla których została wydana decyzja o ograniczonej certyfikacji</w:t>
      </w:r>
      <w:r>
        <w:t>,</w:t>
      </w:r>
    </w:p>
    <w:p w:rsidR="00BE7267" w:rsidRPr="00BD2874" w:rsidRDefault="00BE7267" w:rsidP="00331999">
      <w:pPr>
        <w:pStyle w:val="LITlitera"/>
      </w:pPr>
      <w:r>
        <w:t>c)</w:t>
      </w:r>
      <w:r w:rsidR="00C81816">
        <w:tab/>
      </w:r>
      <w:r w:rsidRPr="00BE7267">
        <w:rPr>
          <w:lang w:eastAsia="en-US"/>
        </w:rPr>
        <w:t>§ 17 ust. 2</w:t>
      </w:r>
      <w:r w:rsidR="00F83EBE">
        <w:t>–8 i</w:t>
      </w:r>
      <w:r w:rsidRPr="00BE7267">
        <w:rPr>
          <w:lang w:eastAsia="en-US"/>
        </w:rPr>
        <w:t xml:space="preserve"> 10, § 21 ust. 1 pkt 4, 8</w:t>
      </w:r>
      <w:r w:rsidR="00F83EBE">
        <w:t xml:space="preserve"> i </w:t>
      </w:r>
      <w:r w:rsidRPr="00BE7267">
        <w:rPr>
          <w:lang w:eastAsia="en-US"/>
        </w:rPr>
        <w:t>9, § 22 ust. 1 pkt 2 lit. b, pkt 3 lit. b, pkt 4 lit. b, ust. 2 pkt 3</w:t>
      </w:r>
      <w:r w:rsidR="00F83EBE">
        <w:t xml:space="preserve"> oraz</w:t>
      </w:r>
      <w:r w:rsidRPr="00BE7267">
        <w:rPr>
          <w:lang w:eastAsia="en-US"/>
        </w:rPr>
        <w:t xml:space="preserve"> § 28 ust. 1 pkt 4 rozporządzenia Ministra Transportu, Budownictwa i Gospodarki Morskiej z dnia 21 czerwca 2013 r. w sprawie wymagań technicznych i eksploatacyjnych w stosunku do lotnisk użytku wyłącznego oraz sposobu i trybu przeprowadzania kontroli sprawdzającej</w:t>
      </w:r>
      <w:r w:rsidR="00C81816">
        <w:t>;</w:t>
      </w:r>
    </w:p>
    <w:p w:rsidR="00BD2874" w:rsidRPr="00BD2874" w:rsidRDefault="00BD2874" w:rsidP="00BD2874">
      <w:pPr>
        <w:pStyle w:val="PKTpunkt"/>
      </w:pPr>
      <w:r w:rsidRPr="00BD2874">
        <w:t>4)</w:t>
      </w:r>
      <w:r>
        <w:tab/>
      </w:r>
      <w:r w:rsidRPr="00BD2874">
        <w:t>uzyskanie pozytywnego wyniku analizy jakości łączy oraz poprawności działania systemów transmisji danych, z wyłączeniem VAN;</w:t>
      </w:r>
    </w:p>
    <w:p w:rsidR="00BD2874" w:rsidRPr="00BD2874" w:rsidRDefault="00BD2874" w:rsidP="00BD2874">
      <w:pPr>
        <w:pStyle w:val="PKTpunkt"/>
      </w:pPr>
      <w:r w:rsidRPr="00BD2874">
        <w:t>5)</w:t>
      </w:r>
      <w:r>
        <w:tab/>
      </w:r>
      <w:r w:rsidRPr="00BD2874">
        <w:t>zapewnienie ciągłości funkcjonowania LUN, w szczególności przez zawarcie umów z podmiotami dostarczającymi usługi zewnętrzne;</w:t>
      </w:r>
    </w:p>
    <w:p w:rsidR="00BD2874" w:rsidRPr="00BD2874" w:rsidRDefault="00BD2874" w:rsidP="00BD2874">
      <w:pPr>
        <w:pStyle w:val="PKTpunkt"/>
      </w:pPr>
      <w:r w:rsidRPr="00BD2874">
        <w:t>6)</w:t>
      </w:r>
      <w:r>
        <w:tab/>
      </w:r>
      <w:r w:rsidRPr="00BD2874">
        <w:t>zabezpieczenie LUN przed skutkami wyładowań atmosferycznych, z wyłączeniem VAN;</w:t>
      </w:r>
    </w:p>
    <w:p w:rsidR="00BD2874" w:rsidRPr="00BD2874" w:rsidRDefault="00BD2874" w:rsidP="00BD2874">
      <w:pPr>
        <w:pStyle w:val="PKTpunkt"/>
      </w:pPr>
      <w:r w:rsidRPr="00BD2874">
        <w:t>7)</w:t>
      </w:r>
      <w:r>
        <w:tab/>
      </w:r>
      <w:r w:rsidRPr="00BD2874">
        <w:t>założenie i prowadzenie dziennika eksploatacji zawierającego opis działań technicznych wykonywanych na LUN przez personel techniczny;</w:t>
      </w:r>
    </w:p>
    <w:p w:rsidR="00BD2874" w:rsidRPr="00BD2874" w:rsidRDefault="00BD2874" w:rsidP="00BD2874">
      <w:pPr>
        <w:pStyle w:val="PKTpunkt"/>
      </w:pPr>
      <w:r w:rsidRPr="00BD2874">
        <w:t>8)</w:t>
      </w:r>
      <w:r>
        <w:tab/>
      </w:r>
      <w:r w:rsidRPr="00BD2874">
        <w:t>założenie i prowadzenie kart pomiarów zawierających parametry LUN z określeniem ich wartości granicznych podlegających sprawdzaniu i korygowaniu w trakcie wykonywania okresowych przeglądów technicznych lub bieżących, o których mowa w § 7 ust. 1 pkt 1;</w:t>
      </w:r>
    </w:p>
    <w:p w:rsidR="00BD2874" w:rsidRPr="00BD2874" w:rsidRDefault="00BD2874" w:rsidP="00BD2874">
      <w:pPr>
        <w:pStyle w:val="PKTpunkt"/>
      </w:pPr>
      <w:r w:rsidRPr="00BD2874">
        <w:t>9)</w:t>
      </w:r>
      <w:r>
        <w:tab/>
      </w:r>
      <w:r w:rsidRPr="00BD2874">
        <w:t>posiadanie aktualnych świadectw wzorcowania lub kalibracji przyrządów pomiarowych;</w:t>
      </w:r>
    </w:p>
    <w:p w:rsidR="00BD2874" w:rsidRPr="00BD2874" w:rsidRDefault="00BD2874" w:rsidP="00BD2874">
      <w:pPr>
        <w:pStyle w:val="PKTpunkt"/>
      </w:pPr>
      <w:r w:rsidRPr="00BD2874">
        <w:t>10)</w:t>
      </w:r>
      <w:r>
        <w:tab/>
      </w:r>
      <w:r w:rsidRPr="00BD2874">
        <w:t>wyznaczenie przez zarządzającego LUN personelu technicznego;</w:t>
      </w:r>
    </w:p>
    <w:p w:rsidR="00BD2874" w:rsidRPr="00BD2874" w:rsidRDefault="00BD2874" w:rsidP="00BD2874">
      <w:pPr>
        <w:pStyle w:val="PKTpunkt"/>
        <w:keepNext/>
      </w:pPr>
      <w:r w:rsidRPr="00BD2874">
        <w:t>11)</w:t>
      </w:r>
      <w:r>
        <w:tab/>
      </w:r>
      <w:r w:rsidRPr="00BD2874">
        <w:t>posiadanie przez zarządzającego LUN instrukcji użytkowania określającej co najmniej: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wymagania w zakresie obsługi bieżącej i okresowej, w tym opis wykonywania przez personel techniczny bieżących i okresowych przeglądów technicznych oraz monitorowania i dostrajania parametrów oraz wykonywania napraw i konserwacji,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opis postępowania personelu technicznego w przypadku sytuacji awaryjnych;</w:t>
      </w:r>
    </w:p>
    <w:p w:rsidR="00BD2874" w:rsidRPr="00BD2874" w:rsidRDefault="00BD2874" w:rsidP="00BD2874">
      <w:pPr>
        <w:pStyle w:val="PKTpunkt"/>
      </w:pPr>
      <w:r w:rsidRPr="00BD2874">
        <w:t>12)</w:t>
      </w:r>
      <w:r>
        <w:tab/>
      </w:r>
      <w:r w:rsidRPr="00BD2874">
        <w:t>zatwierdzenie</w:t>
      </w:r>
      <w:r w:rsidR="008C2EED" w:rsidRPr="008C2EED">
        <w:t xml:space="preserve"> </w:t>
      </w:r>
      <w:r w:rsidR="008C2EED" w:rsidRPr="00BD2874">
        <w:t>wprowadzenia w życie zmiany</w:t>
      </w:r>
      <w:r w:rsidRPr="00BD2874">
        <w:t>, o którym mowa w art. 128b ust. 2 ustawy, w systemie funkcjonalnym</w:t>
      </w:r>
      <w:r w:rsidR="008C2EED">
        <w:t>,</w:t>
      </w:r>
      <w:r w:rsidRPr="00BD2874">
        <w:t xml:space="preserve"> w ramach którego LUN ma być wykorzystywane – w </w:t>
      </w:r>
      <w:r w:rsidRPr="00BD2874">
        <w:lastRenderedPageBreak/>
        <w:t>przypadku LUN będącego częścią składową EATMN wykorzystywanego do operacyjnego zabezpieczenia żeglugi powietrznej.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t>§ 6.</w:t>
      </w:r>
      <w:r>
        <w:t> </w:t>
      </w:r>
      <w:r w:rsidRPr="00BD2874">
        <w:t>Do eksploatacji mogą zostać dopuszczone LUN, które są obsługiwane i naprawiane wyłącznie przez osoby stanowiące personel techniczny posiadające: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>kompetencje określone przez zarządzającego LUN w oparciu o zalecenia producenta LUN;</w:t>
      </w:r>
    </w:p>
    <w:p w:rsidR="00BD2874" w:rsidRPr="00BD2874" w:rsidRDefault="00BD2874" w:rsidP="00BD2874">
      <w:pPr>
        <w:pStyle w:val="PKTpunkt"/>
      </w:pPr>
      <w:r w:rsidRPr="00BD2874">
        <w:t>2)</w:t>
      </w:r>
      <w:r>
        <w:tab/>
      </w:r>
      <w:r w:rsidRPr="00BD2874">
        <w:t>przeszkolenie w zakresie obsługi i naprawy LUN przeprowadzone przez producenta albo zarządzającego LUN;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>pozytywną weryfikację w zakresie kompetencji personelu technicznego, przeprowadzoną przez zarządzającego LUN nie rzadziej niż co pięć lat,</w:t>
      </w:r>
    </w:p>
    <w:p w:rsidR="00BD2874" w:rsidRPr="00BD2874" w:rsidRDefault="00BD2874" w:rsidP="00BD2874">
      <w:pPr>
        <w:pStyle w:val="PKTpunkt"/>
      </w:pPr>
      <w:r w:rsidRPr="00BD2874">
        <w:t>4)</w:t>
      </w:r>
      <w:r>
        <w:tab/>
      </w:r>
      <w:r w:rsidRPr="00BD2874">
        <w:t xml:space="preserve"> upoważnienie do obsługiwania i naprawy danego LUN, wydane przez zarządzającego LUN.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t>§ 7.</w:t>
      </w:r>
      <w:r>
        <w:t> </w:t>
      </w:r>
      <w:r w:rsidRPr="00BD2874">
        <w:t>1. Dodatkowym warunk</w:t>
      </w:r>
      <w:r w:rsidR="001A1053">
        <w:t>iem</w:t>
      </w:r>
      <w:r w:rsidRPr="00BD2874">
        <w:t xml:space="preserve"> eksploatacji LUN </w:t>
      </w:r>
      <w:r w:rsidR="001A1053">
        <w:t>jest</w:t>
      </w:r>
      <w:r w:rsidRPr="00BD2874">
        <w:t>:</w:t>
      </w:r>
    </w:p>
    <w:p w:rsidR="00BD2874" w:rsidRPr="00BD2874" w:rsidRDefault="00BD2874" w:rsidP="00BD2874">
      <w:pPr>
        <w:pStyle w:val="PKTpunkt"/>
        <w:keepNext/>
      </w:pPr>
      <w:r w:rsidRPr="00BD2874">
        <w:t>1)</w:t>
      </w:r>
      <w:r>
        <w:tab/>
      </w:r>
      <w:r w:rsidRPr="00BD2874">
        <w:t>wykonywanie bieżących i okresowych przeglądów technicznych przy pomocy personelu technicznego z częstotliwością zalecaną przez producenta, jednak nie rzadziej niż: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co 1 miesiąc w odniesieniu do NAV, z zastrzeżeniem ILS kategorii II i III, których przeglądu dokonuje się nie rzadziej niż 30 dni od ostatniego przeglądu, SUR, DP i MET, z wyłączeniem radarów meteorologicznych oraz systemów detekcji i lokalizacji wyładowań atmosferycznych, których przeglądu dokonuje się w terminach zalecanych przez producenta,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co 6 miesięcy – w odniesieniu do COM i radarów meteorologicznych,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co 12 miesięcy – w odniesieniu do systemów detekcji i lokalizacji wyładowań atmosferycznych;</w:t>
      </w:r>
    </w:p>
    <w:p w:rsidR="00BD2874" w:rsidRPr="00BD2874" w:rsidRDefault="00BD2874" w:rsidP="00BD2874">
      <w:pPr>
        <w:pStyle w:val="PKTpunkt"/>
        <w:keepNext/>
      </w:pPr>
      <w:r w:rsidRPr="00BD2874">
        <w:t>2)</w:t>
      </w:r>
      <w:r>
        <w:tab/>
      </w:r>
      <w:r w:rsidRPr="00BD2874">
        <w:t>wykonywanie kontroli z powietrza przy pomocy podmiotu uprawnionego, przy użyciu statku powietrznego wyposażonego w system kontroli z powietrza oraz z uwzględnieniem zakresu testów lub pomiarów i dopuszczalnych wartości tolerancji parametrów mierzonych podczas kontroli LUN z powietrza określonych w załączniku nr 2 do rozporządzenia:</w:t>
      </w:r>
    </w:p>
    <w:p w:rsidR="00BD2874" w:rsidRPr="00BD2874" w:rsidRDefault="00BD2874" w:rsidP="00BD2874">
      <w:pPr>
        <w:pStyle w:val="LITlitera"/>
        <w:keepNext/>
      </w:pPr>
      <w:r w:rsidRPr="00BD2874">
        <w:t>a)</w:t>
      </w:r>
      <w:r>
        <w:tab/>
      </w:r>
      <w:r w:rsidRPr="00BD2874">
        <w:t>wdrożeniowych (W) wykonywanych przed wpisem do rejestru LUN: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dla NAV, SUR i DP,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dla VAN wyłącznie dla systemów, o których mowa w § 3 pkt 4 lit. a tiret drugie i trzecie, lit. b tiret piąte oraz lit. c,</w:t>
      </w:r>
    </w:p>
    <w:p w:rsidR="00BD2874" w:rsidRPr="00BD2874" w:rsidRDefault="00BD2874" w:rsidP="00BD2874">
      <w:pPr>
        <w:pStyle w:val="LITlitera"/>
        <w:keepNext/>
      </w:pPr>
      <w:r w:rsidRPr="00BD2874">
        <w:lastRenderedPageBreak/>
        <w:t>b)</w:t>
      </w:r>
      <w:r>
        <w:tab/>
      </w:r>
      <w:r w:rsidRPr="00BD2874">
        <w:t>okresowych (O) wykonywanych nie rzadziej niż: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co 6 miesięcy dla ILS i współpracujących z nimi DME,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co 12 miesięcy dla pozostałych DME, NDB, VOR i DVOR,</w:t>
      </w:r>
    </w:p>
    <w:p w:rsidR="00BD2874" w:rsidRPr="00BD2874" w:rsidRDefault="00BD2874" w:rsidP="00BD2874">
      <w:pPr>
        <w:pStyle w:val="LITlitera"/>
        <w:keepNext/>
      </w:pPr>
      <w:r w:rsidRPr="00BD2874">
        <w:t>c)</w:t>
      </w:r>
      <w:r>
        <w:tab/>
      </w:r>
      <w:r w:rsidRPr="00BD2874">
        <w:t>doraźnych (D) wykonywanych dla: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NAV, SUR i DP, w szczególności po wymianie podstawowych elementów składowych LUN mających wpływ na nadawany sygnał, po znaczącej zmianie w środowisku w pobliżu anten LUN oraz w przypadku stwierdzenia powtarzających się okresowych zakłóceń sygnału,</w:t>
      </w:r>
    </w:p>
    <w:p w:rsidR="00BD2874" w:rsidRPr="00BD2874" w:rsidRDefault="00BD2874" w:rsidP="00BD2874">
      <w:pPr>
        <w:pStyle w:val="TIRtiret"/>
      </w:pPr>
      <w:r w:rsidRPr="00BD2874">
        <w:t>–</w:t>
      </w:r>
      <w:r>
        <w:tab/>
      </w:r>
      <w:r w:rsidRPr="00BD2874">
        <w:t>VAN po wymianie lub przemieszczeniu jednostek PAPI lub APAPI;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 xml:space="preserve">wykonywanie oceny jakości łączności pomiędzy załogą </w:t>
      </w:r>
      <w:r w:rsidR="001A1053">
        <w:t xml:space="preserve">znajdującą się </w:t>
      </w:r>
      <w:r w:rsidRPr="00BD2874">
        <w:t>na pokładzie statku powietrznego a operatorem radiostacji naziemnej w przestrzeni operacyjnego wykorzystania w przypadku wdrożenia COM.</w:t>
      </w:r>
    </w:p>
    <w:p w:rsidR="00BD2874" w:rsidRPr="00BD2874" w:rsidRDefault="00BD2874" w:rsidP="00BD2874">
      <w:pPr>
        <w:pStyle w:val="USTustnpkodeksu"/>
      </w:pPr>
      <w:r w:rsidRPr="00BD2874">
        <w:t>2.</w:t>
      </w:r>
      <w:r>
        <w:t> </w:t>
      </w:r>
      <w:r w:rsidRPr="00BD2874">
        <w:t>Termin następnej kontroli okresowej, o której mowa w ust. 1 pkt 2 lit. b, wyznacza osoba wykonująca na pokładzie statku powietrznego kontrolę z powietrza. Jeżeli kontrola została wykonana w ciągu 21 dni przed datą wskazaną jako termin następnej kontroli w ostatnim protokole kontroli z powietrza</w:t>
      </w:r>
      <w:r w:rsidR="001A1053">
        <w:t>,</w:t>
      </w:r>
      <w:r w:rsidRPr="00BD2874">
        <w:t xml:space="preserve"> wówczas datę następnej kontroli okresowej wyznacza się przez dodanie – odpowiednio do typu LUN – maksymalnie 6 lub 12 miesięcy do dnia następnej kontroli wskazanej w ostatnim protokole kontroli.</w:t>
      </w:r>
    </w:p>
    <w:p w:rsidR="00BD2874" w:rsidRPr="00BD2874" w:rsidRDefault="00BD2874" w:rsidP="00BD2874">
      <w:pPr>
        <w:pStyle w:val="USTustnpkodeksu"/>
      </w:pPr>
      <w:r w:rsidRPr="00BD2874">
        <w:t>3.</w:t>
      </w:r>
      <w:r>
        <w:t> </w:t>
      </w:r>
      <w:r w:rsidRPr="00BD2874">
        <w:t>W okolicznościach uniemożliwiających wykonanie kontroli z powietrza, w szczególności jeżeli warunki atmosferyczne uniemożliwiają jej wykonanie, w przypadku awarii statku powietrznego lub systemu kontroli z powietrza, dopuszcza się wydłużenie terminu, o którym mowa w ust. 1 pkt 2 lit. b, o 21 dni. Do wyznaczenia dnia następnej kontroli przepis ust. 2 stosuje się odpowiednio.</w:t>
      </w:r>
    </w:p>
    <w:p w:rsidR="00BD2874" w:rsidRPr="00BD2874" w:rsidRDefault="00BD2874" w:rsidP="00BD2874">
      <w:pPr>
        <w:pStyle w:val="USTustnpkodeksu"/>
      </w:pPr>
      <w:r w:rsidRPr="00BD2874">
        <w:t>4.</w:t>
      </w:r>
      <w:r>
        <w:t> </w:t>
      </w:r>
      <w:r w:rsidRPr="00BD2874">
        <w:t>Zwiększenie przedziału czasu, o którym mowa w ust. 2, może być zastosowane, o ile praca LUN jest stabilna i udokumentowana protokołami poprzednich kontroli z powietrza oraz wynikami okresowych przeglądów technicznych.</w:t>
      </w:r>
    </w:p>
    <w:p w:rsidR="00BD2874" w:rsidRPr="00FC6472" w:rsidRDefault="00BD2874" w:rsidP="00BD2874">
      <w:pPr>
        <w:pStyle w:val="USTustnpkodeksu"/>
        <w:keepNext/>
      </w:pPr>
      <w:r w:rsidRPr="004C31A2">
        <w:t>5. </w:t>
      </w:r>
      <w:r w:rsidRPr="00FC6472">
        <w:t>Na podstawie wyników kontroli, o której mowa w ust. 1 pkt 2, a w przypadku MET także na podstawie analizy bezpieczeństwa, zarządzający LUN w odniesieniu do NAV, SUR i MET określa zakres eksploatacji LUN: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  <w:t>„</w:t>
      </w:r>
      <w:r w:rsidRPr="00BD2874">
        <w:t>bez ograniczeń</w:t>
      </w:r>
      <w:r>
        <w:t>”</w:t>
      </w:r>
      <w:r w:rsidRPr="00BD2874">
        <w:t xml:space="preserve"> – jeżeli LUN spełnia wszystkie wymagania techniczne i eksploatacyjne;</w:t>
      </w:r>
    </w:p>
    <w:p w:rsidR="00BD2874" w:rsidRPr="00BD2874" w:rsidRDefault="00BD2874" w:rsidP="00BD2874">
      <w:pPr>
        <w:pStyle w:val="PKTpunkt"/>
      </w:pPr>
      <w:r w:rsidRPr="00BD2874">
        <w:t>2)</w:t>
      </w:r>
      <w:r>
        <w:tab/>
        <w:t>„</w:t>
      </w:r>
      <w:r w:rsidRPr="00BD2874">
        <w:t>z ograniczeniami</w:t>
      </w:r>
      <w:r>
        <w:t>”</w:t>
      </w:r>
      <w:r w:rsidRPr="00BD2874">
        <w:t xml:space="preserve"> – jeżeli LUN nie spełnia niektórych wymagań technicznych i eksploatacyjnych, niezwiązanych bezpośrednio z bezpieczeństwem operacyjnego </w:t>
      </w:r>
      <w:r w:rsidRPr="00BD2874">
        <w:lastRenderedPageBreak/>
        <w:t>zabezpieczenia żeglugi powietrznej, w szczególności dotyczących wymaganych wartości parametrów lub zasięgu;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  <w:t>„</w:t>
      </w:r>
      <w:r w:rsidRPr="00BD2874">
        <w:t>nieużyteczny</w:t>
      </w:r>
      <w:r>
        <w:t>”</w:t>
      </w:r>
      <w:r w:rsidRPr="00BD2874">
        <w:t xml:space="preserve"> – jeżeli LUN nie spełnia wymagań technicznych i eksploatacyjnych związanych bezpośrednio z bezpieczeństwem operacyjnego zabezpieczenia żeglugi powietrznej.</w:t>
      </w:r>
    </w:p>
    <w:p w:rsidR="00BD2874" w:rsidRPr="00BD2874" w:rsidRDefault="00BD2874" w:rsidP="00BD2874">
      <w:pPr>
        <w:pStyle w:val="USTustnpkodeksu"/>
      </w:pPr>
      <w:r w:rsidRPr="00BD2874">
        <w:t>6.</w:t>
      </w:r>
      <w:r>
        <w:t> </w:t>
      </w:r>
      <w:r w:rsidRPr="00BD2874">
        <w:t>Informacje dotyczące zakresu ograniczeń eksploatacji zarządzający LUN przekazuje do służb informacji lotniczej (AIS – Aeronautical Information Service).</w:t>
      </w:r>
    </w:p>
    <w:p w:rsidR="00BD2874" w:rsidRPr="00BD2874" w:rsidRDefault="00BD2874" w:rsidP="00BD2874">
      <w:pPr>
        <w:pStyle w:val="USTustnpkodeksu"/>
      </w:pPr>
      <w:r w:rsidRPr="00BD2874">
        <w:t>7.</w:t>
      </w:r>
      <w:r>
        <w:t> </w:t>
      </w:r>
      <w:r w:rsidRPr="00BD2874">
        <w:t>W przypadku stwierdzenia przez osobę wykonującą na pokładzie statku powietrznego kontrolę z powietrza niezachowania dopuszczalnych wartości tolerancji parametrów LUN, zarządzający LUN wyłącza LUN z pracy operacyjnej i wydaje NOTAM o wyłączeniu urządzenia z pracy operacyjnej lub, w przypadku nałożenia ograniczeń w pracy operacyjnej, zarządzający LUN wydaje NOTAM o ograniczeniach w użytkowaniu LUN, oraz informuje Prezesa Urzędu o przeprowadzonych czynnościach.</w:t>
      </w:r>
    </w:p>
    <w:p w:rsidR="00BD2874" w:rsidRPr="00BD2874" w:rsidRDefault="00BD2874" w:rsidP="00BD2874">
      <w:pPr>
        <w:pStyle w:val="ROZDZODDZOZNoznaczenierozdziauluboddziau"/>
      </w:pPr>
      <w:r w:rsidRPr="00BD2874">
        <w:t>Rozdział 4</w:t>
      </w:r>
    </w:p>
    <w:p w:rsidR="00BD2874" w:rsidRPr="00BD2874" w:rsidRDefault="00BD2874" w:rsidP="00BD2874">
      <w:pPr>
        <w:pStyle w:val="ROZDZODDZPRZEDMprzedmiotregulacjirozdziauluboddziau"/>
      </w:pPr>
      <w:r w:rsidRPr="00BD2874">
        <w:t>Rejestr LUN</w:t>
      </w:r>
    </w:p>
    <w:p w:rsidR="00BD2874" w:rsidRPr="00BD2874" w:rsidRDefault="00BD2874" w:rsidP="003A3C9E">
      <w:pPr>
        <w:pStyle w:val="ARTartustawynprozporzdzenia"/>
      </w:pPr>
      <w:r w:rsidRPr="00BD2874">
        <w:rPr>
          <w:rStyle w:val="Ppogrubienie"/>
        </w:rPr>
        <w:t>§ 8.</w:t>
      </w:r>
      <w:r>
        <w:t> </w:t>
      </w:r>
      <w:r w:rsidR="00D54633">
        <w:t>1</w:t>
      </w:r>
      <w:r w:rsidRPr="00BD2874">
        <w:t>.</w:t>
      </w:r>
      <w:r>
        <w:t> </w:t>
      </w:r>
      <w:r w:rsidRPr="00BD2874">
        <w:t>Rejestr składa się z: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>rejestru A – obejmującego LUN wykorzystywane w ramach EATMN i spełniające wymagania określone w rozporządzeniu, o którym mowa w § 4 ust. 1 pkt 1 lit. b;</w:t>
      </w:r>
    </w:p>
    <w:p w:rsidR="00BD2874" w:rsidRPr="00BD2874" w:rsidRDefault="00BD2874" w:rsidP="00BD2874">
      <w:pPr>
        <w:pStyle w:val="PKTpunkt"/>
      </w:pPr>
      <w:r w:rsidRPr="00BD2874">
        <w:t>2)</w:t>
      </w:r>
      <w:r>
        <w:tab/>
      </w:r>
      <w:r w:rsidRPr="00BD2874">
        <w:t>rejestru B – obejmującego LUN, z wyłączeniem VAN, wykorzystywane poza EATMN;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>rejestru VAN – obejmującego wzrokowe pomoce nawigacyjne.</w:t>
      </w:r>
    </w:p>
    <w:p w:rsidR="00BD2874" w:rsidRPr="00BD2874" w:rsidRDefault="006A18C2" w:rsidP="00BD2874">
      <w:pPr>
        <w:pStyle w:val="USTustnpkodeksu"/>
        <w:keepNext/>
      </w:pPr>
      <w:r>
        <w:t>2</w:t>
      </w:r>
      <w:r w:rsidR="00BD2874" w:rsidRPr="00BD2874">
        <w:t>.</w:t>
      </w:r>
      <w:r w:rsidR="00BD2874">
        <w:t> </w:t>
      </w:r>
      <w:r w:rsidR="00BD2874" w:rsidRPr="00BD2874">
        <w:t xml:space="preserve">Dane do rejestru są </w:t>
      </w:r>
      <w:r w:rsidR="003B2CA1">
        <w:t xml:space="preserve">wprowadzane </w:t>
      </w:r>
      <w:r w:rsidR="00BD2874" w:rsidRPr="00BD2874">
        <w:t>na podstawie informacji zawartych we wniosku i w dołączonych do niego dokumentach i obejmują: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>numer w rejestrze oraz numer i datę wydania decyzji o wpisie LUN do rejestru;</w:t>
      </w:r>
    </w:p>
    <w:p w:rsidR="00BD2874" w:rsidRPr="00BD2874" w:rsidRDefault="00BD2874" w:rsidP="00BD2874">
      <w:pPr>
        <w:pStyle w:val="PKTpunkt"/>
      </w:pPr>
      <w:r w:rsidRPr="00BD2874">
        <w:t>2)</w:t>
      </w:r>
      <w:r>
        <w:tab/>
      </w:r>
      <w:r w:rsidRPr="00BD2874">
        <w:t>dane zarządzającego LUN, w tym: nazwę, adres</w:t>
      </w:r>
      <w:r w:rsidR="001A7FC3">
        <w:t xml:space="preserve"> i</w:t>
      </w:r>
      <w:r w:rsidRPr="00BD2874">
        <w:t xml:space="preserve"> telefon kontaktowy;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>miejsce zainstalowania LUN i współrzędne geograficzne anteny promieniującej – jeżeli istnieje;</w:t>
      </w:r>
    </w:p>
    <w:p w:rsidR="00BD2874" w:rsidRPr="00BD2874" w:rsidRDefault="00BD2874" w:rsidP="00BD2874">
      <w:pPr>
        <w:pStyle w:val="PKTpunkt"/>
      </w:pPr>
      <w:r w:rsidRPr="00BD2874">
        <w:t>4)</w:t>
      </w:r>
      <w:r>
        <w:tab/>
      </w:r>
      <w:r w:rsidRPr="00BD2874">
        <w:t>numer i datę ważności pozwolenia radiowego – w przypadku LUN</w:t>
      </w:r>
      <w:r w:rsidR="003B2CA1">
        <w:t xml:space="preserve"> będących urządzeniami radiowymi nadawczymi lub nadawczo-odbiorczymi</w:t>
      </w:r>
      <w:r w:rsidRPr="00BD2874">
        <w:t>;</w:t>
      </w:r>
    </w:p>
    <w:p w:rsidR="00BD2874" w:rsidRPr="00BD2874" w:rsidRDefault="00BD2874" w:rsidP="00BD2874">
      <w:pPr>
        <w:pStyle w:val="PKTpunkt"/>
      </w:pPr>
      <w:r w:rsidRPr="00BD2874">
        <w:t>5)</w:t>
      </w:r>
      <w:r>
        <w:tab/>
      </w:r>
      <w:r w:rsidRPr="00BD2874">
        <w:t xml:space="preserve">dane w </w:t>
      </w:r>
      <w:r w:rsidR="0066457A">
        <w:t xml:space="preserve">zakresie </w:t>
      </w:r>
      <w:r w:rsidRPr="00BD2874">
        <w:t>charakterysty</w:t>
      </w:r>
      <w:r w:rsidR="0066457A">
        <w:t>ki</w:t>
      </w:r>
      <w:r w:rsidRPr="00BD2874">
        <w:t xml:space="preserve"> technicznej LUN.</w:t>
      </w:r>
    </w:p>
    <w:p w:rsidR="00BD2874" w:rsidRDefault="006A18C2" w:rsidP="00BD2874">
      <w:pPr>
        <w:pStyle w:val="USTustnpkodeksu"/>
      </w:pPr>
      <w:r>
        <w:t>3</w:t>
      </w:r>
      <w:r w:rsidR="00BD2874" w:rsidRPr="00BD2874">
        <w:t>.</w:t>
      </w:r>
      <w:r w:rsidR="00BD2874">
        <w:t> </w:t>
      </w:r>
      <w:r w:rsidR="00BD2874" w:rsidRPr="00BD2874">
        <w:t>Do rejestru</w:t>
      </w:r>
      <w:r w:rsidR="003B2CA1">
        <w:t xml:space="preserve"> wprowadza</w:t>
      </w:r>
      <w:r w:rsidR="00BD2874" w:rsidRPr="00BD2874">
        <w:t xml:space="preserve"> się także numer i datę wydania decyzji o zatwierdzeniu wprowadzenia w życie zmiany w systemie funkcjonalnym</w:t>
      </w:r>
      <w:r w:rsidR="001A7FC3">
        <w:t>,</w:t>
      </w:r>
      <w:r w:rsidR="00BD2874" w:rsidRPr="00BD2874">
        <w:t xml:space="preserve"> w ramach którego LUN jest wykorzystywane.</w:t>
      </w:r>
    </w:p>
    <w:p w:rsidR="003B2CA1" w:rsidRPr="00BD2874" w:rsidRDefault="003B2CA1" w:rsidP="00BD2874">
      <w:pPr>
        <w:pStyle w:val="USTustnpkodeksu"/>
      </w:pPr>
      <w:r>
        <w:lastRenderedPageBreak/>
        <w:t>4. Integralną częścią rejestru jest zbió</w:t>
      </w:r>
      <w:r w:rsidR="009921D2">
        <w:t>r</w:t>
      </w:r>
      <w:r>
        <w:t xml:space="preserve"> dokumentów w </w:t>
      </w:r>
      <w:r w:rsidR="006D666D">
        <w:t>postaci</w:t>
      </w:r>
      <w:r>
        <w:t xml:space="preserve"> papierowej.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t>§ 9.</w:t>
      </w:r>
      <w:r>
        <w:t> </w:t>
      </w:r>
      <w:r w:rsidRPr="00BD2874">
        <w:t>1. Rejestr A obejmuje następujące dane: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>nazwę i typ LUN;</w:t>
      </w:r>
    </w:p>
    <w:p w:rsidR="00BD2874" w:rsidRPr="00BD2874" w:rsidRDefault="00BD2874" w:rsidP="00BD2874">
      <w:pPr>
        <w:pStyle w:val="PKTpunkt"/>
      </w:pPr>
      <w:r w:rsidRPr="00BD2874">
        <w:t>2)</w:t>
      </w:r>
      <w:r>
        <w:tab/>
      </w:r>
      <w:r w:rsidRPr="00BD2874">
        <w:t>numer fabryczny LUN;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>klasę LUN;</w:t>
      </w:r>
    </w:p>
    <w:p w:rsidR="00BD2874" w:rsidRPr="00BD2874" w:rsidRDefault="00BD2874" w:rsidP="00BD2874">
      <w:pPr>
        <w:pStyle w:val="PKTpunkt"/>
      </w:pPr>
      <w:r w:rsidRPr="00BD2874">
        <w:t>4)</w:t>
      </w:r>
      <w:r>
        <w:tab/>
      </w:r>
      <w:r w:rsidRPr="00BD2874">
        <w:t>kategorię ILS – w przypadku ILS;</w:t>
      </w:r>
    </w:p>
    <w:p w:rsidR="00BD2874" w:rsidRPr="00BD2874" w:rsidRDefault="00BD2874" w:rsidP="00BD2874">
      <w:pPr>
        <w:pStyle w:val="PKTpunkt"/>
      </w:pPr>
      <w:r w:rsidRPr="00BD2874">
        <w:t>5)</w:t>
      </w:r>
      <w:r>
        <w:tab/>
      </w:r>
      <w:r w:rsidRPr="00BD2874">
        <w:t>zasięg operacyjny – w przypadku COM, SUR i NAV;</w:t>
      </w:r>
    </w:p>
    <w:p w:rsidR="00BD2874" w:rsidRPr="00BD2874" w:rsidRDefault="00BD2874" w:rsidP="00BD2874">
      <w:pPr>
        <w:pStyle w:val="PKTpunkt"/>
      </w:pPr>
      <w:r w:rsidRPr="00BD2874">
        <w:t>6)</w:t>
      </w:r>
      <w:r>
        <w:tab/>
      </w:r>
      <w:r w:rsidRPr="00BD2874">
        <w:t>zakres eksploatacji LUN wraz z opisem ograniczeń eksploatacji;</w:t>
      </w:r>
    </w:p>
    <w:p w:rsidR="00BD2874" w:rsidRPr="00BD2874" w:rsidRDefault="00BD2874" w:rsidP="00BD2874">
      <w:pPr>
        <w:pStyle w:val="PKTpunkt"/>
      </w:pPr>
      <w:r w:rsidRPr="00BD2874">
        <w:t>7)</w:t>
      </w:r>
      <w:r>
        <w:tab/>
      </w:r>
      <w:r w:rsidRPr="00BD2874">
        <w:t>przeznaczenie LUN;</w:t>
      </w:r>
    </w:p>
    <w:p w:rsidR="00BD2874" w:rsidRPr="00BD2874" w:rsidRDefault="00BD2874" w:rsidP="00BD2874">
      <w:pPr>
        <w:pStyle w:val="PKTpunkt"/>
      </w:pPr>
      <w:r w:rsidRPr="00BD2874">
        <w:t>8)</w:t>
      </w:r>
      <w:r>
        <w:tab/>
      </w:r>
      <w:r w:rsidRPr="00BD2874">
        <w:t>nazwę systemu funkcjonalnego</w:t>
      </w:r>
      <w:r w:rsidR="001A7FC3">
        <w:t>,</w:t>
      </w:r>
      <w:r w:rsidRPr="00BD2874">
        <w:t xml:space="preserve"> w ramach którego LUN będzie wykorzystywane;</w:t>
      </w:r>
    </w:p>
    <w:p w:rsidR="00BD2874" w:rsidRPr="00BD2874" w:rsidRDefault="00BD2874" w:rsidP="00BD2874">
      <w:pPr>
        <w:pStyle w:val="PKTpunkt"/>
      </w:pPr>
      <w:r w:rsidRPr="00BD2874">
        <w:t>9)</w:t>
      </w:r>
      <w:r>
        <w:tab/>
      </w:r>
      <w:r w:rsidRPr="00BD2874">
        <w:t>nazwę producenta LUN;</w:t>
      </w:r>
    </w:p>
    <w:p w:rsidR="00BD2874" w:rsidRPr="00BD2874" w:rsidRDefault="00BD2874" w:rsidP="00BD2874">
      <w:pPr>
        <w:pStyle w:val="PKTpunkt"/>
      </w:pPr>
      <w:r w:rsidRPr="00BD2874">
        <w:t>10)</w:t>
      </w:r>
      <w:r>
        <w:tab/>
      </w:r>
      <w:r w:rsidRPr="00BD2874">
        <w:t>nazwę zarządzającego LUN;</w:t>
      </w:r>
    </w:p>
    <w:p w:rsidR="00BD2874" w:rsidRPr="00BD2874" w:rsidRDefault="00BD2874" w:rsidP="00BD2874">
      <w:pPr>
        <w:pStyle w:val="PKTpunkt"/>
      </w:pPr>
      <w:r w:rsidRPr="00BD2874">
        <w:t>11)</w:t>
      </w:r>
      <w:r>
        <w:tab/>
      </w:r>
      <w:r w:rsidRPr="00BD2874">
        <w:t>proponowany znak wywoławczy lub rozpoznawczy – w przypadku LUN, dla których taki znak jest wymagany;</w:t>
      </w:r>
    </w:p>
    <w:p w:rsidR="00BD2874" w:rsidRPr="00BD2874" w:rsidRDefault="00BD2874" w:rsidP="00BD2874">
      <w:pPr>
        <w:pStyle w:val="PKTpunkt"/>
      </w:pPr>
      <w:r w:rsidRPr="00BD2874">
        <w:t>12)</w:t>
      </w:r>
      <w:r>
        <w:tab/>
      </w:r>
      <w:r w:rsidRPr="00BD2874">
        <w:t>datę początku eksploatacji;</w:t>
      </w:r>
    </w:p>
    <w:p w:rsidR="00BD2874" w:rsidRPr="00BD2874" w:rsidRDefault="00BD2874" w:rsidP="00BD2874">
      <w:pPr>
        <w:pStyle w:val="PKTpunkt"/>
      </w:pPr>
      <w:r w:rsidRPr="00BD2874">
        <w:t>13)</w:t>
      </w:r>
      <w:r>
        <w:tab/>
      </w:r>
      <w:r w:rsidRPr="00BD2874">
        <w:t>przewidywany okres eksploatacji w latach;</w:t>
      </w:r>
    </w:p>
    <w:p w:rsidR="00BD2874" w:rsidRPr="00BD2874" w:rsidRDefault="00BD2874" w:rsidP="00BD2874">
      <w:pPr>
        <w:pStyle w:val="PKTpunkt"/>
      </w:pPr>
      <w:r w:rsidRPr="00BD2874">
        <w:t>14)</w:t>
      </w:r>
      <w:r>
        <w:tab/>
      </w:r>
      <w:r w:rsidRPr="00BD2874">
        <w:t>miejsce zainstalowania LUN;</w:t>
      </w:r>
    </w:p>
    <w:p w:rsidR="00BD2874" w:rsidRPr="00BD2874" w:rsidRDefault="00BD2874" w:rsidP="00BD2874">
      <w:pPr>
        <w:pStyle w:val="PKTpunkt"/>
      </w:pPr>
      <w:r w:rsidRPr="00BD2874">
        <w:t>15)</w:t>
      </w:r>
      <w:r>
        <w:tab/>
      </w:r>
      <w:r w:rsidRPr="00BD2874">
        <w:t>współrzędne miejsca zainstalowania LUN.</w:t>
      </w:r>
    </w:p>
    <w:p w:rsidR="00BD2874" w:rsidRPr="00BD2874" w:rsidRDefault="00BD2874" w:rsidP="00BD2874">
      <w:pPr>
        <w:pStyle w:val="USTustnpkodeksu"/>
        <w:keepNext/>
      </w:pPr>
      <w:r w:rsidRPr="00BD2874">
        <w:t>2.</w:t>
      </w:r>
      <w:r>
        <w:t> </w:t>
      </w:r>
      <w:r w:rsidRPr="00BD2874">
        <w:t xml:space="preserve"> Rejestr A obejmuje następujące dokumenty</w:t>
      </w:r>
      <w:r w:rsidR="00331999">
        <w:t xml:space="preserve"> lub ich kopie</w:t>
      </w:r>
      <w:r w:rsidRPr="00BD2874">
        <w:t>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>charakterystykę techniczną LUN;</w:t>
      </w:r>
    </w:p>
    <w:p w:rsidR="00BD2874" w:rsidRPr="00BD2874" w:rsidRDefault="00BD2874" w:rsidP="00BD2874">
      <w:pPr>
        <w:pStyle w:val="PKTpunkt"/>
      </w:pPr>
      <w:r w:rsidRPr="00BD2874">
        <w:t>2)</w:t>
      </w:r>
      <w:r>
        <w:tab/>
      </w:r>
      <w:r w:rsidRPr="00BD2874">
        <w:t>plan lokalizacji LUN z oznaczonymi strefami ochronnymi lub strefami bezpieczeństwa – jeżeli dla danego LUN strefę taką się wyznacza;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>plan sytuacyjny w postaci mapy terenu z określonymi strefami ograniczonej zabudowy;</w:t>
      </w:r>
    </w:p>
    <w:p w:rsidR="00BD2874" w:rsidRPr="00BD2874" w:rsidRDefault="00BD2874" w:rsidP="00BD2874">
      <w:pPr>
        <w:pStyle w:val="PKTpunkt"/>
      </w:pPr>
      <w:r w:rsidRPr="00BD2874">
        <w:t>4)</w:t>
      </w:r>
      <w:r>
        <w:tab/>
      </w:r>
      <w:r w:rsidRPr="00BD2874">
        <w:t>protokół odbioru technicznego lub protokół przekazania LUN;</w:t>
      </w:r>
    </w:p>
    <w:p w:rsidR="00BD2874" w:rsidRPr="00BD2874" w:rsidRDefault="00BD2874" w:rsidP="00BD2874">
      <w:pPr>
        <w:pStyle w:val="PKTpunkt"/>
      </w:pPr>
      <w:r w:rsidRPr="00BD2874">
        <w:t>5)</w:t>
      </w:r>
      <w:r>
        <w:tab/>
      </w:r>
      <w:r w:rsidRPr="00BD2874">
        <w:t>protokół kontroli z powietrza LUN;</w:t>
      </w:r>
    </w:p>
    <w:p w:rsidR="00BD2874" w:rsidRPr="00BD2874" w:rsidRDefault="00BD2874" w:rsidP="00BD2874">
      <w:pPr>
        <w:pStyle w:val="PKTpunkt"/>
      </w:pPr>
      <w:r w:rsidRPr="00BD2874">
        <w:t>6)</w:t>
      </w:r>
      <w:r>
        <w:tab/>
      </w:r>
      <w:r w:rsidRPr="00BD2874">
        <w:t>analizę zagrożeń funkcjonalnych i wstępną systemową ocenę bezpieczeństwa;</w:t>
      </w:r>
    </w:p>
    <w:p w:rsidR="00BD2874" w:rsidRPr="00BD2874" w:rsidRDefault="00BD2874" w:rsidP="00BD2874">
      <w:pPr>
        <w:pStyle w:val="PKTpunkt"/>
      </w:pPr>
      <w:r w:rsidRPr="00BD2874">
        <w:t>7)</w:t>
      </w:r>
      <w:r>
        <w:tab/>
      </w:r>
      <w:r w:rsidRPr="00BD2874">
        <w:t>analizę jakości łączy oraz poprawności działania systemów transmisji danych;</w:t>
      </w:r>
    </w:p>
    <w:p w:rsidR="00BD2874" w:rsidRPr="00BD2874" w:rsidRDefault="00BD2874" w:rsidP="00BD2874">
      <w:pPr>
        <w:pStyle w:val="PKTpunkt"/>
      </w:pPr>
      <w:r w:rsidRPr="00BD2874">
        <w:t>8)</w:t>
      </w:r>
      <w:r>
        <w:tab/>
      </w:r>
      <w:r w:rsidRPr="00BD2874">
        <w:t>deklarację WE o zgodności lub przydatności do wykorzystania części składowych;</w:t>
      </w:r>
    </w:p>
    <w:p w:rsidR="00BD2874" w:rsidRPr="00BD2874" w:rsidRDefault="00BD2874" w:rsidP="00BD2874">
      <w:pPr>
        <w:pStyle w:val="PKTpunkt"/>
      </w:pPr>
      <w:r w:rsidRPr="00BD2874">
        <w:t>9)</w:t>
      </w:r>
      <w:r>
        <w:tab/>
      </w:r>
      <w:r w:rsidRPr="00BD2874">
        <w:t>deklarację WE o weryfikacji systemu;</w:t>
      </w:r>
    </w:p>
    <w:p w:rsidR="00BD2874" w:rsidRPr="00BD2874" w:rsidRDefault="00BD2874" w:rsidP="00BD2874">
      <w:pPr>
        <w:pStyle w:val="PKTpunkt"/>
      </w:pPr>
      <w:r w:rsidRPr="00BD2874">
        <w:t>10)</w:t>
      </w:r>
      <w:r>
        <w:tab/>
      </w:r>
      <w:r w:rsidRPr="00BD2874">
        <w:t>deklarację producenta o spełnianiu wymagań dotyczących bezpieczeństwa oprogramowania;</w:t>
      </w:r>
    </w:p>
    <w:p w:rsidR="00BD2874" w:rsidRPr="00BD2874" w:rsidRDefault="00BD2874" w:rsidP="00BD2874">
      <w:pPr>
        <w:pStyle w:val="PKTpunkt"/>
      </w:pPr>
      <w:r w:rsidRPr="00BD2874">
        <w:t>11)</w:t>
      </w:r>
      <w:r>
        <w:tab/>
      </w:r>
      <w:r w:rsidRPr="00BD2874">
        <w:t>wyciąg z SAT potwierdzający uzyskanie pozytywnego wyniku;</w:t>
      </w:r>
    </w:p>
    <w:p w:rsidR="00BD2874" w:rsidRPr="00BD2874" w:rsidRDefault="00BD2874" w:rsidP="00BD2874">
      <w:pPr>
        <w:pStyle w:val="PKTpunkt"/>
      </w:pPr>
      <w:r w:rsidRPr="00BD2874">
        <w:t>12)</w:t>
      </w:r>
      <w:r>
        <w:tab/>
      </w:r>
      <w:r w:rsidRPr="00BD2874">
        <w:t>pozwoleni</w:t>
      </w:r>
      <w:r w:rsidR="00331999">
        <w:t>e</w:t>
      </w:r>
      <w:r w:rsidRPr="00BD2874">
        <w:t xml:space="preserve"> radiowe wydane</w:t>
      </w:r>
      <w:bookmarkStart w:id="0" w:name="_GoBack"/>
      <w:bookmarkEnd w:id="0"/>
      <w:r w:rsidRPr="00BD2874">
        <w:t xml:space="preserve"> przez Prezesa Urzędu Komunikacji Elektronicznej;</w:t>
      </w:r>
    </w:p>
    <w:p w:rsidR="00BD2874" w:rsidRPr="00BD2874" w:rsidRDefault="00BD2874" w:rsidP="00BD2874">
      <w:pPr>
        <w:pStyle w:val="PKTpunkt"/>
      </w:pPr>
      <w:r w:rsidRPr="00BD2874">
        <w:lastRenderedPageBreak/>
        <w:t>13)</w:t>
      </w:r>
      <w:r>
        <w:tab/>
      </w:r>
      <w:r w:rsidRPr="00BD2874">
        <w:t>dokument potwierdzający prawo wnioskodawcy do korzystania z nieruchomości, na której ma być wykorzystywane LUN;</w:t>
      </w:r>
    </w:p>
    <w:p w:rsidR="00BD2874" w:rsidRPr="00BD2874" w:rsidRDefault="00BD2874" w:rsidP="00BD2874">
      <w:pPr>
        <w:pStyle w:val="PKTpunkt"/>
      </w:pPr>
      <w:r w:rsidRPr="00BD2874">
        <w:t>14)</w:t>
      </w:r>
      <w:r>
        <w:tab/>
      </w:r>
      <w:r w:rsidRPr="00BD2874">
        <w:t>dokument potwierdzający wybudowanie i oddanie do użytku lotniczego urządzenia naziemnego zgodnie z przepisami ustawy z dnia 7 lipca 1994 r. – Prawo budowlane (Dz. U. z 2013 r. poz. 1409, z późn. zm.</w:t>
      </w:r>
      <w:r>
        <w:rPr>
          <w:rStyle w:val="Odwoanieprzypisudolnego"/>
        </w:rPr>
        <w:footnoteReference w:id="4"/>
      </w:r>
      <w:r w:rsidRPr="00BD2874">
        <w:rPr>
          <w:rStyle w:val="IGindeksgrny"/>
        </w:rPr>
        <w:t>)</w:t>
      </w:r>
      <w:r w:rsidRPr="00BD2874">
        <w:t>);</w:t>
      </w:r>
    </w:p>
    <w:p w:rsidR="00BD2874" w:rsidRPr="00BD2874" w:rsidRDefault="00BD2874" w:rsidP="00BD2874">
      <w:pPr>
        <w:pStyle w:val="PKTpunkt"/>
      </w:pPr>
      <w:r w:rsidRPr="00BD2874">
        <w:t>15)</w:t>
      </w:r>
      <w:r>
        <w:tab/>
      </w:r>
      <w:r w:rsidRPr="00BD2874">
        <w:t>potwierdzenie wniesienia opłaty lotniczej;</w:t>
      </w:r>
    </w:p>
    <w:p w:rsidR="00BD2874" w:rsidRPr="00BD2874" w:rsidRDefault="00BD2874" w:rsidP="00BD2874">
      <w:pPr>
        <w:pStyle w:val="PKTpunkt"/>
        <w:keepNext/>
      </w:pPr>
      <w:r w:rsidRPr="00BD2874">
        <w:t>16)</w:t>
      </w:r>
      <w:r>
        <w:tab/>
      </w:r>
      <w:r w:rsidRPr="00BD2874">
        <w:t>oświadczenia o: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zobowiązaniu się do przydzielenia do obsługi LUN uprawnionego i upoważnionego personelu technicznego,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posiadaniu przez personel techniczny potwierdzenia właściwych uprawnień i upoważnień,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posiadaniu opisu technicznego i instrukcji eksploatacji LUN,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posiadaniu instrukcji użytkowania dla personelu technicznego,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założeniu i prowadzeniu na bieżąco dziennika eksploatacji LUN i karty pomiarów,</w:t>
      </w:r>
    </w:p>
    <w:p w:rsidR="00BD2874" w:rsidRPr="00BD2874" w:rsidRDefault="00BD2874" w:rsidP="00BD2874">
      <w:pPr>
        <w:pStyle w:val="LITlitera"/>
        <w:rPr>
          <w:lang w:val="en-US"/>
        </w:rPr>
      </w:pPr>
      <w:r w:rsidRPr="00BD2874">
        <w:rPr>
          <w:lang w:val="en-US"/>
        </w:rPr>
        <w:t>f)</w:t>
      </w:r>
      <w:r w:rsidRPr="00BD2874">
        <w:rPr>
          <w:lang w:val="en-US"/>
        </w:rPr>
        <w:tab/>
        <w:t>posiadaniu certyfikatu FAT (Factory Acceptance Tests),</w:t>
      </w:r>
    </w:p>
    <w:p w:rsidR="00BD2874" w:rsidRPr="00BD2874" w:rsidRDefault="00BD2874" w:rsidP="00BD2874">
      <w:pPr>
        <w:pStyle w:val="LITlitera"/>
      </w:pPr>
      <w:r w:rsidRPr="00BD2874">
        <w:t>g)</w:t>
      </w:r>
      <w:r>
        <w:tab/>
      </w:r>
      <w:r w:rsidRPr="00BD2874">
        <w:t>posiadaniu certyfikatu SAT,</w:t>
      </w:r>
    </w:p>
    <w:p w:rsidR="00BD2874" w:rsidRPr="00BD2874" w:rsidRDefault="00BD2874" w:rsidP="00BD2874">
      <w:pPr>
        <w:pStyle w:val="LITlitera"/>
      </w:pPr>
      <w:r w:rsidRPr="00BD2874">
        <w:t>h)</w:t>
      </w:r>
      <w:r>
        <w:tab/>
      </w:r>
      <w:r w:rsidRPr="00BD2874">
        <w:t xml:space="preserve"> posiadaniu protokołów z pomiarów promieniowania elektromagnetycznego – w przypadku SUR, NAV i COM,</w:t>
      </w:r>
    </w:p>
    <w:p w:rsidR="00BD2874" w:rsidRPr="00BD2874" w:rsidRDefault="00BD2874" w:rsidP="00BD2874">
      <w:pPr>
        <w:pStyle w:val="LITlitera"/>
      </w:pPr>
      <w:r w:rsidRPr="00BD2874">
        <w:t>i)</w:t>
      </w:r>
      <w:r>
        <w:tab/>
      </w:r>
      <w:r w:rsidRPr="00BD2874">
        <w:t>zapewnieniu dla LUN właściwego zasilania i zabezpieczenia energetycznego,</w:t>
      </w:r>
    </w:p>
    <w:p w:rsidR="00BD2874" w:rsidRPr="00BD2874" w:rsidRDefault="00BD2874" w:rsidP="00BD2874">
      <w:pPr>
        <w:pStyle w:val="LITlitera"/>
      </w:pPr>
      <w:r w:rsidRPr="00BD2874">
        <w:t>j)</w:t>
      </w:r>
      <w:r>
        <w:tab/>
      </w:r>
      <w:r w:rsidRPr="00BD2874">
        <w:t>zapewnieniu właściwych usług zewnętrznych niezbędnych do funkcjonowania LUN,</w:t>
      </w:r>
    </w:p>
    <w:p w:rsidR="00BD2874" w:rsidRPr="00BD2874" w:rsidRDefault="00BD2874" w:rsidP="00BD2874">
      <w:pPr>
        <w:pStyle w:val="LITlitera"/>
      </w:pPr>
      <w:r w:rsidRPr="00BD2874">
        <w:t>k)</w:t>
      </w:r>
      <w:r>
        <w:tab/>
      </w:r>
      <w:r w:rsidRPr="00BD2874">
        <w:t>zapewnieniu zabezpieczenia LUN przed skutkami wyładowań atmosferycznych.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t>§ 10.</w:t>
      </w:r>
      <w:r>
        <w:t> </w:t>
      </w:r>
      <w:r w:rsidRPr="00BD2874">
        <w:t>Rejestr B obejmuje dane, o których mowa w § 9 ust. 1 pkt 1–3, 5–7 i 9–14 oraz dokumenty, o których mowa w § 9 ust. 2 pkt 1, 13–1</w:t>
      </w:r>
      <w:r w:rsidR="00E9634D">
        <w:t>5</w:t>
      </w:r>
      <w:r w:rsidRPr="00BD2874">
        <w:t>, 1</w:t>
      </w:r>
      <w:r w:rsidR="00E9634D">
        <w:t>6</w:t>
      </w:r>
      <w:r w:rsidRPr="00BD2874">
        <w:t xml:space="preserve"> lit. a–e i k oraz: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>plan sytuacyjny (mapę terenu) z oznaczeniem miejsca instalacji LUN;</w:t>
      </w:r>
    </w:p>
    <w:p w:rsidR="00BD2874" w:rsidRPr="00BD2874" w:rsidRDefault="00BD2874" w:rsidP="00BD2874">
      <w:pPr>
        <w:pStyle w:val="PKTpunkt"/>
      </w:pPr>
      <w:r w:rsidRPr="00BD2874">
        <w:t>2)</w:t>
      </w:r>
      <w:r>
        <w:tab/>
      </w:r>
      <w:r w:rsidRPr="00BD2874">
        <w:t>protokół instalacji i odbioru technicznego LUN;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 xml:space="preserve"> oświadczenie o otrzymaniu od producenta sprawnego i kompletnego LUN.</w:t>
      </w:r>
    </w:p>
    <w:p w:rsidR="00BD2874" w:rsidRPr="00BD2874" w:rsidRDefault="00BD2874" w:rsidP="00BD2874">
      <w:pPr>
        <w:pStyle w:val="ARTartustawynprozporzdzenia"/>
      </w:pPr>
      <w:r w:rsidRPr="00BD2874">
        <w:rPr>
          <w:rStyle w:val="Ppogrubienie"/>
        </w:rPr>
        <w:t>§ 11.</w:t>
      </w:r>
      <w:r>
        <w:t> </w:t>
      </w:r>
      <w:r w:rsidRPr="00BD2874">
        <w:t>Rejestr VAN obejmuje dane, o których mowa w § 9 ust. 1 pkt 1, 6, 9 i 12–14 oraz  dokumenty, o których mowa w § 9 ust. 2 pkt 1–5, 1</w:t>
      </w:r>
      <w:r w:rsidR="006C4C09">
        <w:t>5</w:t>
      </w:r>
      <w:r w:rsidRPr="00BD2874">
        <w:t>, i 1</w:t>
      </w:r>
      <w:r w:rsidR="006C4C09">
        <w:t>6</w:t>
      </w:r>
      <w:r w:rsidRPr="00BD2874">
        <w:t xml:space="preserve"> lit. a–e, i–j oraz § 10 pkt 1–3, oraz:</w:t>
      </w:r>
    </w:p>
    <w:p w:rsidR="00BD2874" w:rsidRPr="00BD2874" w:rsidRDefault="00BD2874" w:rsidP="00BD2874">
      <w:r w:rsidRPr="00BD2874">
        <w:t>nazwę zarządzającego lotniskiem.</w:t>
      </w:r>
    </w:p>
    <w:p w:rsidR="00BD2874" w:rsidRPr="00BD2874" w:rsidRDefault="00BD2874" w:rsidP="004E27F9">
      <w:pPr>
        <w:pStyle w:val="ARTartustawynprozporzdzenia"/>
      </w:pPr>
      <w:r w:rsidRPr="00BD2874">
        <w:rPr>
          <w:rStyle w:val="Ppogrubienie"/>
        </w:rPr>
        <w:lastRenderedPageBreak/>
        <w:t>§ 12.</w:t>
      </w:r>
      <w:r>
        <w:t> </w:t>
      </w:r>
      <w:r w:rsidRPr="00BD2874">
        <w:t xml:space="preserve">1. Dane w zakresie charakterystyki technicznej LUN, o której mowa w </w:t>
      </w:r>
      <w:r w:rsidR="0037722B" w:rsidRPr="004E27F9">
        <w:rPr>
          <w:rStyle w:val="Ppogrubienie"/>
          <w:b w:val="0"/>
        </w:rPr>
        <w:t>§ 8</w:t>
      </w:r>
      <w:r w:rsidR="0037722B">
        <w:rPr>
          <w:rStyle w:val="Ppogrubienie"/>
        </w:rPr>
        <w:t xml:space="preserve"> </w:t>
      </w:r>
      <w:r w:rsidR="0054396A">
        <w:t>ust. 2. pkt 5</w:t>
      </w:r>
      <w:r w:rsidRPr="00BD2874">
        <w:t>, obejmują w szczególności odpowiednio: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>krótki opis LUN z wyszczególnieniem jego zasadniczych części składowych;</w:t>
      </w:r>
    </w:p>
    <w:p w:rsidR="00BD2874" w:rsidRPr="00BD2874" w:rsidRDefault="00BD2874" w:rsidP="00BD2874">
      <w:pPr>
        <w:pStyle w:val="PKTpunkt"/>
      </w:pPr>
      <w:r w:rsidRPr="00BD2874">
        <w:t>2)</w:t>
      </w:r>
      <w:r>
        <w:tab/>
      </w:r>
      <w:r w:rsidRPr="00BD2874">
        <w:t>dane nadajnika, w tym: rodzaj, moc, częstotliwość lub zakres częstotliwości pracy i częstotliwość powtarzania impulsów;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>dane odbiornika, w tym czułość;</w:t>
      </w:r>
    </w:p>
    <w:p w:rsidR="00BD2874" w:rsidRPr="00BD2874" w:rsidRDefault="00BD2874" w:rsidP="00BD2874">
      <w:pPr>
        <w:pStyle w:val="PKTpunkt"/>
      </w:pPr>
      <w:r w:rsidRPr="00BD2874">
        <w:t>4)</w:t>
      </w:r>
      <w:r>
        <w:tab/>
      </w:r>
      <w:r w:rsidRPr="00BD2874">
        <w:t>dane anteny, w tym rodzaj i prędkość obrotową oraz wysokość zawieszenia jej środka nad poziomem terenu i nad poziomem morza;</w:t>
      </w:r>
    </w:p>
    <w:p w:rsidR="00BD2874" w:rsidRPr="00BD2874" w:rsidRDefault="00BD2874" w:rsidP="00BD2874">
      <w:pPr>
        <w:pStyle w:val="PKTpunkt"/>
      </w:pPr>
      <w:r w:rsidRPr="00BD2874">
        <w:t>5)</w:t>
      </w:r>
      <w:r>
        <w:tab/>
      </w:r>
      <w:r w:rsidRPr="00BD2874">
        <w:t>nazwę i numer podstawowej wersji oprogramowania LUN;</w:t>
      </w:r>
    </w:p>
    <w:p w:rsidR="00BD2874" w:rsidRPr="00BD2874" w:rsidRDefault="00BD2874" w:rsidP="00BD2874">
      <w:pPr>
        <w:pStyle w:val="PKTpunkt"/>
      </w:pPr>
      <w:r w:rsidRPr="00BD2874">
        <w:t>6)</w:t>
      </w:r>
      <w:r>
        <w:tab/>
      </w:r>
      <w:r w:rsidRPr="00BD2874">
        <w:t>dostępne standardy sygnałów wyjściowych LUN;</w:t>
      </w:r>
    </w:p>
    <w:p w:rsidR="00BD2874" w:rsidRPr="00BD2874" w:rsidRDefault="00BD2874" w:rsidP="00BD2874">
      <w:pPr>
        <w:pStyle w:val="PKTpunkt"/>
      </w:pPr>
      <w:r w:rsidRPr="00BD2874">
        <w:t>7)</w:t>
      </w:r>
      <w:r>
        <w:tab/>
      </w:r>
      <w:r w:rsidRPr="00BD2874">
        <w:t>przydatność systemów ILS i GBAS do stosowania w warunkach ograniczonej widoczności;</w:t>
      </w:r>
    </w:p>
    <w:p w:rsidR="00BD2874" w:rsidRPr="00BD2874" w:rsidRDefault="00BD2874" w:rsidP="00BD2874">
      <w:pPr>
        <w:pStyle w:val="PKTpunkt"/>
      </w:pPr>
      <w:r w:rsidRPr="00BD2874">
        <w:t>8)</w:t>
      </w:r>
      <w:r>
        <w:tab/>
      </w:r>
      <w:r w:rsidRPr="00BD2874">
        <w:t>układ geometryczny w odniesieniu do VAN.</w:t>
      </w:r>
    </w:p>
    <w:p w:rsidR="00BD2874" w:rsidRPr="00BD2874" w:rsidRDefault="00BD2874" w:rsidP="00BD2874">
      <w:pPr>
        <w:pStyle w:val="USTustnpkodeksu"/>
        <w:keepNext/>
      </w:pPr>
      <w:r w:rsidRPr="00BD2874">
        <w:t>2.</w:t>
      </w:r>
      <w:r>
        <w:t> </w:t>
      </w:r>
      <w:r w:rsidRPr="00BD2874">
        <w:t>Szczegółowe dane w zakresie charakterystyki technicznej dla poszczególnych rodzajów LUN, obejmują ponadto co najmniej następujące dane:</w:t>
      </w:r>
    </w:p>
    <w:p w:rsidR="00BD2874" w:rsidRPr="00BD2874" w:rsidRDefault="00BD2874" w:rsidP="00BD2874">
      <w:pPr>
        <w:pStyle w:val="PKTpunkt"/>
        <w:keepNext/>
      </w:pPr>
      <w:r w:rsidRPr="00BD2874">
        <w:t>1)</w:t>
      </w:r>
      <w:r>
        <w:tab/>
      </w:r>
      <w:r w:rsidRPr="00BD2874">
        <w:t>w przypadku naziemnej radiostacji lotniczej: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znak rozpoznawczy,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zasięg operacyjny (promień [NM], wysokość [ft]),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zakres programowania częstotliwości [MHz],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odstęp kanałowy [kHz],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moc nadajnika [W],</w:t>
      </w:r>
    </w:p>
    <w:p w:rsidR="00BD2874" w:rsidRPr="00BD2874" w:rsidRDefault="00BD2874" w:rsidP="00BD2874">
      <w:pPr>
        <w:pStyle w:val="LITlitera"/>
      </w:pPr>
      <w:r w:rsidRPr="00BD2874">
        <w:t>f)</w:t>
      </w:r>
      <w:r>
        <w:tab/>
      </w:r>
      <w:r w:rsidRPr="00BD2874">
        <w:t>rodzaj emisji,</w:t>
      </w:r>
    </w:p>
    <w:p w:rsidR="00BD2874" w:rsidRPr="00BD2874" w:rsidRDefault="00BD2874" w:rsidP="00BD2874">
      <w:pPr>
        <w:pStyle w:val="LITlitera"/>
      </w:pPr>
      <w:r w:rsidRPr="00BD2874">
        <w:t>g)</w:t>
      </w:r>
      <w:r>
        <w:tab/>
      </w:r>
      <w:r w:rsidRPr="00BD2874">
        <w:t>czułość odbiornika (wraz z kryterium jej określenia),</w:t>
      </w:r>
    </w:p>
    <w:p w:rsidR="00BD2874" w:rsidRPr="00BD2874" w:rsidRDefault="00BD2874" w:rsidP="00BD2874">
      <w:pPr>
        <w:pStyle w:val="LITlitera"/>
      </w:pPr>
      <w:r w:rsidRPr="00BD2874">
        <w:t>h)</w:t>
      </w:r>
      <w:r>
        <w:tab/>
      </w:r>
      <w:r w:rsidRPr="00BD2874">
        <w:t>rodzaj i typ anteny,</w:t>
      </w:r>
    </w:p>
    <w:p w:rsidR="00BD2874" w:rsidRPr="00BD2874" w:rsidRDefault="00BD2874" w:rsidP="00BD2874">
      <w:pPr>
        <w:pStyle w:val="LITlitera"/>
      </w:pPr>
      <w:r w:rsidRPr="00BD2874">
        <w:t>i)</w:t>
      </w:r>
      <w:r>
        <w:tab/>
      </w:r>
      <w:r w:rsidRPr="00BD2874">
        <w:t>polaryzację anteny radiostacji,</w:t>
      </w:r>
    </w:p>
    <w:p w:rsidR="00BD2874" w:rsidRPr="00BD2874" w:rsidRDefault="00BD2874" w:rsidP="00BD2874">
      <w:pPr>
        <w:pStyle w:val="LITlitera"/>
      </w:pPr>
      <w:r w:rsidRPr="00BD2874">
        <w:t>j)</w:t>
      </w:r>
      <w:r>
        <w:tab/>
      </w:r>
      <w:r w:rsidRPr="00BD2874">
        <w:t>współrzędne geograficzne anteny radiostacji,</w:t>
      </w:r>
    </w:p>
    <w:p w:rsidR="00BD2874" w:rsidRPr="00BD2874" w:rsidRDefault="00BD2874" w:rsidP="00BD2874">
      <w:pPr>
        <w:pStyle w:val="LITlitera"/>
      </w:pPr>
      <w:r w:rsidRPr="00BD2874">
        <w:t>k)</w:t>
      </w:r>
      <w:r>
        <w:tab/>
      </w:r>
      <w:r w:rsidRPr="00BD2874">
        <w:t>wysokość zawieszenia anteny npt [m],</w:t>
      </w:r>
    </w:p>
    <w:p w:rsidR="00BD2874" w:rsidRPr="00BD2874" w:rsidRDefault="00BD2874" w:rsidP="00BD2874">
      <w:pPr>
        <w:pStyle w:val="LITlitera"/>
      </w:pPr>
      <w:r w:rsidRPr="00BD2874">
        <w:t>l)</w:t>
      </w:r>
      <w:r>
        <w:tab/>
      </w:r>
      <w:r w:rsidRPr="00BD2874">
        <w:t>nazwę i numer wersji oprogramowania –  jeżeli dotyczy,</w:t>
      </w:r>
    </w:p>
    <w:p w:rsidR="00BD2874" w:rsidRPr="00BD2874" w:rsidRDefault="00BD2874" w:rsidP="00BD2874">
      <w:pPr>
        <w:pStyle w:val="LITlitera"/>
      </w:pPr>
      <w:r w:rsidRPr="00BD2874">
        <w:t>m)</w:t>
      </w:r>
      <w:r>
        <w:tab/>
      </w:r>
      <w:r w:rsidRPr="00BD2874">
        <w:t>dostępne standardy sygnałów zdalnie sterujących i wyjściowych;</w:t>
      </w:r>
    </w:p>
    <w:p w:rsidR="00BD2874" w:rsidRPr="00BD2874" w:rsidRDefault="00BD2874" w:rsidP="00BD2874">
      <w:pPr>
        <w:pStyle w:val="PKTpunkt"/>
        <w:keepNext/>
      </w:pPr>
      <w:r w:rsidRPr="00BD2874">
        <w:t>2)</w:t>
      </w:r>
      <w:r>
        <w:tab/>
      </w:r>
      <w:r w:rsidRPr="00BD2874">
        <w:t>w przypadku technicznej pomocy nawigacyjnej – DME i VOR/DVOR: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znak rozpoznawczy,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zasięg operacyjny (promień [NM]),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współrzędne geograficzne anteny,</w:t>
      </w:r>
    </w:p>
    <w:p w:rsidR="00BD2874" w:rsidRPr="00BD2874" w:rsidRDefault="00BD2874" w:rsidP="00BD2874">
      <w:pPr>
        <w:pStyle w:val="LITlitera"/>
      </w:pPr>
      <w:r w:rsidRPr="00BD2874">
        <w:lastRenderedPageBreak/>
        <w:t>d)</w:t>
      </w:r>
      <w:r>
        <w:tab/>
      </w:r>
      <w:r w:rsidRPr="00BD2874">
        <w:t>nazwę i typ współpracującego ILS lub DME albo VOR/DVOR,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rodzaj i typ nadajnika,</w:t>
      </w:r>
    </w:p>
    <w:p w:rsidR="00BD2874" w:rsidRPr="00BD2874" w:rsidRDefault="00BD2874" w:rsidP="00BD2874">
      <w:pPr>
        <w:pStyle w:val="LITlitera"/>
      </w:pPr>
      <w:r w:rsidRPr="00BD2874">
        <w:t>f)</w:t>
      </w:r>
      <w:r>
        <w:tab/>
      </w:r>
      <w:r w:rsidRPr="00BD2874">
        <w:t>częstotliwość pracy [MHz],</w:t>
      </w:r>
    </w:p>
    <w:p w:rsidR="00BD2874" w:rsidRPr="00BD2874" w:rsidRDefault="00BD2874" w:rsidP="00BD2874">
      <w:pPr>
        <w:pStyle w:val="LITlitera"/>
      </w:pPr>
      <w:r w:rsidRPr="00BD2874">
        <w:t>g)</w:t>
      </w:r>
      <w:r>
        <w:tab/>
      </w:r>
      <w:r w:rsidRPr="00BD2874">
        <w:t>moc w impulsie [W],</w:t>
      </w:r>
    </w:p>
    <w:p w:rsidR="00BD2874" w:rsidRPr="00BD2874" w:rsidRDefault="00BD2874" w:rsidP="00BD2874">
      <w:pPr>
        <w:pStyle w:val="LITlitera"/>
      </w:pPr>
      <w:r w:rsidRPr="00BD2874">
        <w:t>h)</w:t>
      </w:r>
      <w:r>
        <w:tab/>
      </w:r>
      <w:r w:rsidRPr="00BD2874">
        <w:t>rodzaj i typ anteny,</w:t>
      </w:r>
    </w:p>
    <w:p w:rsidR="00BD2874" w:rsidRPr="00BD2874" w:rsidRDefault="00BD2874" w:rsidP="00BD2874">
      <w:pPr>
        <w:pStyle w:val="LITlitera"/>
      </w:pPr>
      <w:r w:rsidRPr="00BD2874">
        <w:t>i)</w:t>
      </w:r>
      <w:r>
        <w:tab/>
      </w:r>
      <w:r w:rsidRPr="00BD2874">
        <w:t>wysokość zawieszenia anteny npt [m],</w:t>
      </w:r>
    </w:p>
    <w:p w:rsidR="00BD2874" w:rsidRPr="00BD2874" w:rsidRDefault="00BD2874" w:rsidP="00BD2874">
      <w:pPr>
        <w:pStyle w:val="LITlitera"/>
      </w:pPr>
      <w:r w:rsidRPr="00BD2874">
        <w:t>j)</w:t>
      </w:r>
      <w:r>
        <w:tab/>
      </w:r>
      <w:r w:rsidRPr="00BD2874">
        <w:t>nazwę i numer wersji oprogramowania;</w:t>
      </w:r>
    </w:p>
    <w:p w:rsidR="00BD2874" w:rsidRPr="00BD2874" w:rsidRDefault="00BD2874" w:rsidP="00BD2874">
      <w:pPr>
        <w:pStyle w:val="PKTpunkt"/>
        <w:keepNext/>
      </w:pPr>
      <w:r w:rsidRPr="00BD2874">
        <w:t>3)</w:t>
      </w:r>
      <w:r>
        <w:tab/>
      </w:r>
      <w:r w:rsidRPr="00BD2874">
        <w:t>w przypadku radiolatarni systemu ILS: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znak rozpoznawczy,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zasięg operacyjny (promień [NM]),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kategorię ILS,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współrzędne geograficzne anteny,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wysokość zawieszenia anteny npt [m],</w:t>
      </w:r>
    </w:p>
    <w:p w:rsidR="00BD2874" w:rsidRPr="00BD2874" w:rsidRDefault="00BD2874" w:rsidP="00BD2874">
      <w:pPr>
        <w:pStyle w:val="LITlitera"/>
      </w:pPr>
      <w:r w:rsidRPr="00BD2874">
        <w:t>f)</w:t>
      </w:r>
      <w:r>
        <w:tab/>
      </w:r>
      <w:r w:rsidRPr="00BD2874">
        <w:t>rodzaj i typ nadajnika,</w:t>
      </w:r>
    </w:p>
    <w:p w:rsidR="00BD2874" w:rsidRPr="00BD2874" w:rsidRDefault="00BD2874" w:rsidP="00BD2874">
      <w:pPr>
        <w:pStyle w:val="LITlitera"/>
      </w:pPr>
      <w:r w:rsidRPr="00BD2874">
        <w:t>g)</w:t>
      </w:r>
      <w:r>
        <w:tab/>
      </w:r>
      <w:r w:rsidRPr="00BD2874">
        <w:t>częstotliwość pracy [MHz],</w:t>
      </w:r>
    </w:p>
    <w:p w:rsidR="00BD2874" w:rsidRPr="00BD2874" w:rsidRDefault="00BD2874" w:rsidP="00BD2874">
      <w:pPr>
        <w:pStyle w:val="LITlitera"/>
      </w:pPr>
      <w:r w:rsidRPr="00BD2874">
        <w:t>h)</w:t>
      </w:r>
      <w:r>
        <w:tab/>
      </w:r>
      <w:r w:rsidRPr="00BD2874">
        <w:t>moc nadajnika [W],</w:t>
      </w:r>
    </w:p>
    <w:p w:rsidR="00BD2874" w:rsidRPr="00BD2874" w:rsidRDefault="00BD2874" w:rsidP="00BD2874">
      <w:pPr>
        <w:pStyle w:val="LITlitera"/>
      </w:pPr>
      <w:r w:rsidRPr="00BD2874">
        <w:t>i)</w:t>
      </w:r>
      <w:r>
        <w:tab/>
      </w:r>
      <w:r w:rsidRPr="00BD2874">
        <w:t>nazwę i numer wersji oprogramowania;</w:t>
      </w:r>
    </w:p>
    <w:p w:rsidR="00BD2874" w:rsidRPr="00BD2874" w:rsidRDefault="00BD2874" w:rsidP="00BD2874">
      <w:pPr>
        <w:pStyle w:val="PKTpunkt"/>
        <w:keepNext/>
      </w:pPr>
      <w:r w:rsidRPr="00BD2874">
        <w:t>4)</w:t>
      </w:r>
      <w:r>
        <w:tab/>
      </w:r>
      <w:r w:rsidRPr="00BD2874">
        <w:t>w przypadku pierwotnego radaru dozorowania: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znak rozpoznawczy radaru,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zasięg operacyjny (promień [NM]),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współrzędne geograficzne radaru,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częstotliwość pracy [MHz],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częstotliwość powtarzania impulsów [imp/sek],</w:t>
      </w:r>
    </w:p>
    <w:p w:rsidR="00BD2874" w:rsidRPr="00BD2874" w:rsidRDefault="00BD2874" w:rsidP="00BD2874">
      <w:pPr>
        <w:pStyle w:val="LITlitera"/>
      </w:pPr>
      <w:r w:rsidRPr="00BD2874">
        <w:t>f)</w:t>
      </w:r>
      <w:r>
        <w:tab/>
      </w:r>
      <w:r w:rsidRPr="00BD2874">
        <w:t>moc w impulsie [kW],</w:t>
      </w:r>
    </w:p>
    <w:p w:rsidR="00BD2874" w:rsidRPr="00BD2874" w:rsidRDefault="00BD2874" w:rsidP="00BD2874">
      <w:pPr>
        <w:pStyle w:val="LITlitera"/>
      </w:pPr>
      <w:r w:rsidRPr="00BD2874">
        <w:t>g)</w:t>
      </w:r>
      <w:r>
        <w:tab/>
      </w:r>
      <w:r w:rsidRPr="00BD2874">
        <w:t>czułość odbiornika,</w:t>
      </w:r>
    </w:p>
    <w:p w:rsidR="00BD2874" w:rsidRPr="00BD2874" w:rsidRDefault="00BD2874" w:rsidP="00BD2874">
      <w:pPr>
        <w:pStyle w:val="LITlitera"/>
      </w:pPr>
      <w:r w:rsidRPr="00BD2874">
        <w:t>h)</w:t>
      </w:r>
      <w:r>
        <w:tab/>
      </w:r>
      <w:r w:rsidRPr="00BD2874">
        <w:t>rodzaj i typ anteny,</w:t>
      </w:r>
    </w:p>
    <w:p w:rsidR="00BD2874" w:rsidRPr="00BD2874" w:rsidRDefault="00BD2874" w:rsidP="00BD2874">
      <w:pPr>
        <w:pStyle w:val="LITlitera"/>
      </w:pPr>
      <w:r w:rsidRPr="00BD2874">
        <w:t>i)</w:t>
      </w:r>
      <w:r>
        <w:tab/>
      </w:r>
      <w:r w:rsidRPr="00BD2874">
        <w:t>wysokość zawieszenia anteny npm [m],</w:t>
      </w:r>
    </w:p>
    <w:p w:rsidR="00BD2874" w:rsidRPr="00BD2874" w:rsidRDefault="00BD2874" w:rsidP="00BD2874">
      <w:pPr>
        <w:pStyle w:val="LITlitera"/>
      </w:pPr>
      <w:r w:rsidRPr="00BD2874">
        <w:t>j)</w:t>
      </w:r>
      <w:r>
        <w:tab/>
      </w:r>
      <w:r w:rsidRPr="00BD2874">
        <w:t>wysokość zawieszenia anteny npt [m],</w:t>
      </w:r>
    </w:p>
    <w:p w:rsidR="00BD2874" w:rsidRPr="00BD2874" w:rsidRDefault="00BD2874" w:rsidP="00BD2874">
      <w:pPr>
        <w:pStyle w:val="LITlitera"/>
      </w:pPr>
      <w:r w:rsidRPr="00BD2874">
        <w:t>k)</w:t>
      </w:r>
      <w:r>
        <w:tab/>
      </w:r>
      <w:r w:rsidRPr="00BD2874">
        <w:t>czas jednego obrotu anteny [sek],</w:t>
      </w:r>
    </w:p>
    <w:p w:rsidR="00BD2874" w:rsidRPr="00BD2874" w:rsidRDefault="00BD2874" w:rsidP="00BD2874">
      <w:pPr>
        <w:pStyle w:val="LITlitera"/>
      </w:pPr>
      <w:r w:rsidRPr="00BD2874">
        <w:t>l)</w:t>
      </w:r>
      <w:r>
        <w:tab/>
      </w:r>
      <w:r w:rsidRPr="00BD2874">
        <w:t>nazwa i numer podstawowej wersji oprogramowania,</w:t>
      </w:r>
    </w:p>
    <w:p w:rsidR="00BD2874" w:rsidRPr="00BD2874" w:rsidRDefault="00BD2874" w:rsidP="00BD2874">
      <w:pPr>
        <w:pStyle w:val="LITlitera"/>
      </w:pPr>
      <w:r w:rsidRPr="00BD2874">
        <w:t>m)</w:t>
      </w:r>
      <w:r>
        <w:tab/>
      </w:r>
      <w:r w:rsidRPr="00BD2874">
        <w:t>dostępne standardy danych wyjściowych;</w:t>
      </w:r>
    </w:p>
    <w:p w:rsidR="00BD2874" w:rsidRPr="00BD2874" w:rsidRDefault="00BD2874" w:rsidP="00BD2874">
      <w:pPr>
        <w:pStyle w:val="PKTpunkt"/>
        <w:keepNext/>
      </w:pPr>
      <w:r w:rsidRPr="00BD2874">
        <w:t>5)</w:t>
      </w:r>
      <w:r>
        <w:tab/>
      </w:r>
      <w:r w:rsidRPr="00BD2874">
        <w:t>w przypadku wtórnego radaru dozorowania: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znak rozpoznawczy radaru,</w:t>
      </w:r>
    </w:p>
    <w:p w:rsidR="00BD2874" w:rsidRPr="00BD2874" w:rsidRDefault="00BD2874" w:rsidP="00BD2874">
      <w:pPr>
        <w:pStyle w:val="LITlitera"/>
      </w:pPr>
      <w:r w:rsidRPr="00BD2874">
        <w:lastRenderedPageBreak/>
        <w:t>b)</w:t>
      </w:r>
      <w:r>
        <w:tab/>
      </w:r>
      <w:r w:rsidRPr="00BD2874">
        <w:t>zasięg operacyjny (promień [NM]),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współrzędne geograficzne radaru,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rodzaj i typ interrogatora,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typ i numer przydzielonego kodu interrogatora,</w:t>
      </w:r>
    </w:p>
    <w:p w:rsidR="00BD2874" w:rsidRPr="00BD2874" w:rsidRDefault="00BD2874" w:rsidP="00BD2874">
      <w:pPr>
        <w:pStyle w:val="LITlitera"/>
      </w:pPr>
      <w:r w:rsidRPr="00BD2874">
        <w:t>f)</w:t>
      </w:r>
      <w:r>
        <w:tab/>
      </w:r>
      <w:r w:rsidRPr="00BD2874">
        <w:t>adres transpondera testowego,</w:t>
      </w:r>
    </w:p>
    <w:p w:rsidR="00BD2874" w:rsidRPr="00BD2874" w:rsidRDefault="00BD2874" w:rsidP="003062EA">
      <w:pPr>
        <w:pStyle w:val="LITlitera"/>
      </w:pPr>
      <w:r w:rsidRPr="00BD2874">
        <w:t>g</w:t>
      </w:r>
      <w:r w:rsidR="003062EA">
        <w:t>)</w:t>
      </w:r>
      <w:r w:rsidRPr="00BD2874">
        <w:tab/>
        <w:t>moc w impulsie [kW],</w:t>
      </w:r>
    </w:p>
    <w:p w:rsidR="00BD2874" w:rsidRPr="00BD2874" w:rsidRDefault="00BD2874" w:rsidP="00BD2874">
      <w:pPr>
        <w:pStyle w:val="LITlitera"/>
      </w:pPr>
      <w:r w:rsidRPr="00BD2874">
        <w:t>h)</w:t>
      </w:r>
      <w:r>
        <w:tab/>
      </w:r>
      <w:r w:rsidRPr="00BD2874">
        <w:t>czułość odbiornika,</w:t>
      </w:r>
    </w:p>
    <w:p w:rsidR="00BD2874" w:rsidRPr="00BD2874" w:rsidRDefault="00BD2874" w:rsidP="00BD2874">
      <w:pPr>
        <w:pStyle w:val="LITlitera"/>
      </w:pPr>
      <w:r w:rsidRPr="00BD2874">
        <w:t>i)</w:t>
      </w:r>
      <w:r>
        <w:tab/>
      </w:r>
      <w:r w:rsidRPr="00BD2874">
        <w:t>rodzaj i typ anteny,</w:t>
      </w:r>
    </w:p>
    <w:p w:rsidR="00BD2874" w:rsidRPr="00BD2874" w:rsidRDefault="00BD2874" w:rsidP="00BD2874">
      <w:pPr>
        <w:pStyle w:val="LITlitera"/>
      </w:pPr>
      <w:r w:rsidRPr="00BD2874">
        <w:t>j)</w:t>
      </w:r>
      <w:r>
        <w:tab/>
      </w:r>
      <w:r w:rsidRPr="00BD2874">
        <w:t>wysokość zawieszenia anteny npt [m],</w:t>
      </w:r>
    </w:p>
    <w:p w:rsidR="00BD2874" w:rsidRPr="00BD2874" w:rsidRDefault="00BD2874" w:rsidP="00BD2874">
      <w:pPr>
        <w:pStyle w:val="LITlitera"/>
      </w:pPr>
      <w:r w:rsidRPr="00BD2874">
        <w:t>k)</w:t>
      </w:r>
      <w:r>
        <w:tab/>
      </w:r>
      <w:r w:rsidRPr="00BD2874">
        <w:t>czas jednego obrotu anteny [sek],</w:t>
      </w:r>
    </w:p>
    <w:p w:rsidR="00BD2874" w:rsidRPr="00BD2874" w:rsidRDefault="00BD2874" w:rsidP="00BD2874">
      <w:pPr>
        <w:pStyle w:val="LITlitera"/>
      </w:pPr>
      <w:r w:rsidRPr="00BD2874">
        <w:t>l)</w:t>
      </w:r>
      <w:r>
        <w:tab/>
      </w:r>
      <w:r w:rsidRPr="00BD2874">
        <w:t>nazwa i numer podstawowej wersji oprogramowania,</w:t>
      </w:r>
    </w:p>
    <w:p w:rsidR="00BD2874" w:rsidRPr="00BD2874" w:rsidRDefault="00BD2874" w:rsidP="00BD2874">
      <w:pPr>
        <w:pStyle w:val="LITlitera"/>
      </w:pPr>
      <w:r w:rsidRPr="00BD2874">
        <w:t>m)</w:t>
      </w:r>
      <w:r>
        <w:tab/>
      </w:r>
      <w:r w:rsidRPr="00BD2874">
        <w:t>dostępne standardy danych wyjściowych;</w:t>
      </w:r>
    </w:p>
    <w:p w:rsidR="00BD2874" w:rsidRPr="00BD2874" w:rsidRDefault="00BD2874" w:rsidP="00BD2874">
      <w:pPr>
        <w:pStyle w:val="PKTpunkt"/>
        <w:keepNext/>
      </w:pPr>
      <w:r w:rsidRPr="00BD2874">
        <w:t>6)</w:t>
      </w:r>
      <w:r>
        <w:tab/>
      </w:r>
      <w:r w:rsidRPr="00BD2874">
        <w:t>w przypadku systemu pomiarowego parametrów meteorologicznych (AWOS):</w:t>
      </w:r>
    </w:p>
    <w:p w:rsidR="00BD2874" w:rsidRPr="00BD2874" w:rsidRDefault="00BD2874" w:rsidP="00BD2874">
      <w:pPr>
        <w:pStyle w:val="LITlitera"/>
      </w:pPr>
      <w:r w:rsidRPr="00BD2874">
        <w:t>a)</w:t>
      </w:r>
      <w:r>
        <w:tab/>
      </w:r>
      <w:r w:rsidRPr="00BD2874">
        <w:t>kategorię AWOS,</w:t>
      </w:r>
    </w:p>
    <w:p w:rsidR="00BD2874" w:rsidRPr="00BD2874" w:rsidRDefault="00BD2874" w:rsidP="00BD2874">
      <w:pPr>
        <w:pStyle w:val="LITlitera"/>
      </w:pPr>
      <w:r w:rsidRPr="00BD2874">
        <w:t>b)</w:t>
      </w:r>
      <w:r>
        <w:tab/>
      </w:r>
      <w:r w:rsidRPr="00BD2874">
        <w:t>wykaz czujników pomiarowych wchodzących w skład AWOS,</w:t>
      </w:r>
    </w:p>
    <w:p w:rsidR="00BD2874" w:rsidRPr="00BD2874" w:rsidRDefault="00BD2874" w:rsidP="00BD2874">
      <w:pPr>
        <w:pStyle w:val="LITlitera"/>
      </w:pPr>
      <w:r w:rsidRPr="00BD2874">
        <w:t>c)</w:t>
      </w:r>
      <w:r>
        <w:tab/>
      </w:r>
      <w:r w:rsidRPr="00BD2874">
        <w:t>parametry mierzone przez AWOS,</w:t>
      </w:r>
    </w:p>
    <w:p w:rsidR="00BD2874" w:rsidRPr="00BD2874" w:rsidRDefault="00BD2874" w:rsidP="00BD2874">
      <w:pPr>
        <w:pStyle w:val="LITlitera"/>
      </w:pPr>
      <w:r w:rsidRPr="00BD2874">
        <w:t>d)</w:t>
      </w:r>
      <w:r>
        <w:tab/>
      </w:r>
      <w:r w:rsidRPr="00BD2874">
        <w:t>parametry wyliczane przez AWOS,</w:t>
      </w:r>
    </w:p>
    <w:p w:rsidR="00BD2874" w:rsidRPr="00BD2874" w:rsidRDefault="00BD2874" w:rsidP="00BD2874">
      <w:pPr>
        <w:pStyle w:val="LITlitera"/>
      </w:pPr>
      <w:r w:rsidRPr="00BD2874">
        <w:t>e)</w:t>
      </w:r>
      <w:r>
        <w:tab/>
      </w:r>
      <w:r w:rsidRPr="00BD2874">
        <w:t>sposób transmisji danych z czujników do wskaźników,</w:t>
      </w:r>
    </w:p>
    <w:p w:rsidR="00BD2874" w:rsidRPr="00BD2874" w:rsidRDefault="00BD2874" w:rsidP="00BD2874">
      <w:pPr>
        <w:pStyle w:val="LITlitera"/>
      </w:pPr>
      <w:r w:rsidRPr="00BD2874">
        <w:t>f)</w:t>
      </w:r>
      <w:r>
        <w:tab/>
      </w:r>
      <w:r w:rsidRPr="00BD2874">
        <w:t>sposób i miejsce prezentacji danych,</w:t>
      </w:r>
    </w:p>
    <w:p w:rsidR="00BD2874" w:rsidRPr="00BD2874" w:rsidRDefault="00BD2874" w:rsidP="00BD2874">
      <w:pPr>
        <w:pStyle w:val="LITlitera"/>
      </w:pPr>
      <w:r w:rsidRPr="00BD2874">
        <w:t>g)</w:t>
      </w:r>
      <w:r>
        <w:tab/>
      </w:r>
      <w:r w:rsidRPr="00BD2874">
        <w:t>sposób i miejsce archiwizacji danych,</w:t>
      </w:r>
    </w:p>
    <w:p w:rsidR="00BD2874" w:rsidRPr="00BD2874" w:rsidRDefault="00BD2874" w:rsidP="00BD2874">
      <w:pPr>
        <w:pStyle w:val="LITlitera"/>
      </w:pPr>
      <w:r w:rsidRPr="00BD2874">
        <w:t>h)</w:t>
      </w:r>
      <w:r>
        <w:tab/>
      </w:r>
      <w:r w:rsidRPr="00BD2874">
        <w:t>nazwę i numer wersji oprogramowania,</w:t>
      </w:r>
    </w:p>
    <w:p w:rsidR="00BD2874" w:rsidRPr="00BD2874" w:rsidRDefault="00BD2874" w:rsidP="00BD2874">
      <w:pPr>
        <w:pStyle w:val="LITlitera"/>
      </w:pPr>
      <w:r w:rsidRPr="00BD2874">
        <w:t>i)</w:t>
      </w:r>
      <w:r>
        <w:tab/>
      </w:r>
      <w:r w:rsidRPr="00BD2874">
        <w:t>dostępne standardy sygnałów wyjściowych,</w:t>
      </w:r>
    </w:p>
    <w:p w:rsidR="00BD2874" w:rsidRPr="00BD2874" w:rsidRDefault="00BD2874" w:rsidP="00BD2874">
      <w:pPr>
        <w:pStyle w:val="LITlitera"/>
      </w:pPr>
      <w:r w:rsidRPr="00BD2874">
        <w:t>j)</w:t>
      </w:r>
      <w:r>
        <w:tab/>
      </w:r>
      <w:r w:rsidRPr="00BD2874">
        <w:t>wysokość posadowienia czujników ciśnienia atmosferycznego,</w:t>
      </w:r>
    </w:p>
    <w:p w:rsidR="00BD2874" w:rsidRPr="00BD2874" w:rsidRDefault="00BD2874" w:rsidP="00BD2874">
      <w:pPr>
        <w:pStyle w:val="LITlitera"/>
      </w:pPr>
      <w:r w:rsidRPr="00BD2874">
        <w:t>k)</w:t>
      </w:r>
      <w:r>
        <w:tab/>
      </w:r>
      <w:r w:rsidRPr="00BD2874">
        <w:t>metodyka obliczania wartości ciśnienia atmosferycznego zredukowanego do elewacji lotniska lub progu drogi startowej (QFE) i ciśnienia atmosferycznego zredukowanego do średniego poziomu morza (MSL) przy wykorzystaniu standardowego profilu atmosfery ICAO (QNH),</w:t>
      </w:r>
    </w:p>
    <w:p w:rsidR="00BD2874" w:rsidRPr="00BD2874" w:rsidRDefault="00BD2874" w:rsidP="00BD2874">
      <w:pPr>
        <w:pStyle w:val="LITlitera"/>
      </w:pPr>
      <w:r w:rsidRPr="00BD2874">
        <w:t>l)</w:t>
      </w:r>
      <w:r>
        <w:tab/>
      </w:r>
      <w:r w:rsidRPr="00BD2874">
        <w:t>kierunek orientacja czujników pomiaru wiatru,</w:t>
      </w:r>
    </w:p>
    <w:p w:rsidR="00BD2874" w:rsidRPr="00BD2874" w:rsidRDefault="00BD2874" w:rsidP="00BD2874">
      <w:pPr>
        <w:pStyle w:val="LITlitera"/>
      </w:pPr>
      <w:r w:rsidRPr="00BD2874">
        <w:t>m)</w:t>
      </w:r>
      <w:r>
        <w:tab/>
      </w:r>
      <w:r w:rsidRPr="00BD2874">
        <w:t>kierunek orientacja kierunku wiatru na wskaźnikach zobrazowania.</w:t>
      </w:r>
    </w:p>
    <w:p w:rsidR="00BD2874" w:rsidRPr="00BD2874" w:rsidRDefault="00BD2874" w:rsidP="00BD2874">
      <w:pPr>
        <w:pStyle w:val="ARTartustawynprozporzdzenia"/>
        <w:keepNext/>
      </w:pPr>
      <w:r w:rsidRPr="00BD2874">
        <w:rPr>
          <w:rStyle w:val="Ppogrubienie"/>
        </w:rPr>
        <w:t>§ 13.</w:t>
      </w:r>
      <w:r>
        <w:t> </w:t>
      </w:r>
      <w:r w:rsidRPr="00BD2874">
        <w:t>Dla każdego LUN wpisanego do rejestru prowadzi się teczkę LUN zawierającą</w:t>
      </w:r>
      <w:r w:rsidR="005E26C7">
        <w:t xml:space="preserve"> zbiór </w:t>
      </w:r>
      <w:r w:rsidR="00D83DC5">
        <w:t>następujących</w:t>
      </w:r>
      <w:r w:rsidR="005E26C7">
        <w:t xml:space="preserve"> dokumentów </w:t>
      </w:r>
      <w:r w:rsidR="007C1400">
        <w:t xml:space="preserve">przekazanych </w:t>
      </w:r>
      <w:r w:rsidR="005E26C7">
        <w:t xml:space="preserve">w </w:t>
      </w:r>
      <w:r w:rsidR="00D83DC5">
        <w:t>postaci</w:t>
      </w:r>
      <w:r w:rsidR="005E26C7">
        <w:t xml:space="preserve"> papierowej:</w:t>
      </w:r>
    </w:p>
    <w:p w:rsidR="00BD2874" w:rsidRPr="00BD2874" w:rsidRDefault="00BD2874" w:rsidP="00BD2874">
      <w:pPr>
        <w:pStyle w:val="PKTpunkt"/>
      </w:pPr>
      <w:r w:rsidRPr="00BD2874">
        <w:t>1)</w:t>
      </w:r>
      <w:r>
        <w:tab/>
      </w:r>
      <w:r w:rsidRPr="00BD2874">
        <w:t>wniosek o wpis do rejestru, wniosek o zmianę wpisu w rejestrze oraz wniosek o wykreślenie wpisu z rejestru;</w:t>
      </w:r>
    </w:p>
    <w:p w:rsidR="00BD2874" w:rsidRPr="00BD2874" w:rsidRDefault="00BD2874" w:rsidP="00BD2874">
      <w:pPr>
        <w:pStyle w:val="PKTpunkt"/>
      </w:pPr>
      <w:r w:rsidRPr="00BD2874">
        <w:lastRenderedPageBreak/>
        <w:t>2)</w:t>
      </w:r>
      <w:r>
        <w:tab/>
      </w:r>
      <w:r w:rsidRPr="00BD2874">
        <w:t>dokumenty dotyczące interoperacyjności (Technical File) zgodnie z rozporządzeniem, o którym mowa w § 4 ust. 1 pkt 1 lit. a;</w:t>
      </w:r>
    </w:p>
    <w:p w:rsidR="00BD2874" w:rsidRPr="00BD2874" w:rsidRDefault="00BD2874" w:rsidP="00BD2874">
      <w:pPr>
        <w:pStyle w:val="PKTpunkt"/>
      </w:pPr>
      <w:r w:rsidRPr="00BD2874">
        <w:t>3)</w:t>
      </w:r>
      <w:r>
        <w:tab/>
      </w:r>
      <w:r w:rsidRPr="00BD2874">
        <w:t>decyzje o wpisie do rejestru, zmianie wpisu w rejestrze i wykreśleniu z rejestru;</w:t>
      </w:r>
    </w:p>
    <w:p w:rsidR="00BD2874" w:rsidRPr="00BD2874" w:rsidRDefault="00BD2874" w:rsidP="00BD2874">
      <w:pPr>
        <w:pStyle w:val="PKTpunkt"/>
      </w:pPr>
      <w:r w:rsidRPr="00BD2874">
        <w:t>4)</w:t>
      </w:r>
      <w:r>
        <w:tab/>
      </w:r>
      <w:r w:rsidRPr="00BD2874">
        <w:t>decyzje o zatwierdzeniu zmiany w systemie funkcjonalnym dotyczącym danego LUN;</w:t>
      </w:r>
    </w:p>
    <w:p w:rsidR="00BD2874" w:rsidRPr="00BD2874" w:rsidRDefault="00BD2874" w:rsidP="00BD2874">
      <w:pPr>
        <w:pStyle w:val="PKTpunkt"/>
      </w:pPr>
      <w:r w:rsidRPr="00BD2874">
        <w:t>5)</w:t>
      </w:r>
      <w:r>
        <w:tab/>
      </w:r>
      <w:r w:rsidRPr="00BD2874">
        <w:t>kopie wydanych pozwoleń radiowych;</w:t>
      </w:r>
    </w:p>
    <w:p w:rsidR="00BD2874" w:rsidRPr="00BD2874" w:rsidRDefault="00BD2874" w:rsidP="00BD2874">
      <w:pPr>
        <w:pStyle w:val="PKTpunkt"/>
      </w:pPr>
      <w:r w:rsidRPr="00BD2874">
        <w:t>6)</w:t>
      </w:r>
      <w:r>
        <w:tab/>
      </w:r>
      <w:r w:rsidRPr="00BD2874">
        <w:t>inne dokumenty dołączone do wniosków wymienionych w pkt 1.</w:t>
      </w:r>
    </w:p>
    <w:p w:rsidR="00BD2874" w:rsidRPr="00BD2874" w:rsidRDefault="00BD2874" w:rsidP="00BD2874">
      <w:pPr>
        <w:pStyle w:val="ROZDZODDZOZNoznaczenierozdziauluboddziau"/>
      </w:pPr>
      <w:r w:rsidRPr="00BD2874">
        <w:t>Rozdział 5</w:t>
      </w:r>
    </w:p>
    <w:p w:rsidR="00BD2874" w:rsidRPr="00BD2874" w:rsidRDefault="00BD2874" w:rsidP="00BD2874">
      <w:pPr>
        <w:pStyle w:val="ROZDZODDZPRZEDMprzedmiotregulacjirozdziauluboddziau"/>
      </w:pPr>
      <w:r w:rsidRPr="00BD2874">
        <w:t>Przepisy przejściowe i końcowe</w:t>
      </w:r>
    </w:p>
    <w:p w:rsidR="00BD2874" w:rsidRPr="00BD2874" w:rsidRDefault="00BD2874" w:rsidP="00BD2874">
      <w:pPr>
        <w:pStyle w:val="ARTartustawynprozporzdzenia"/>
      </w:pPr>
      <w:r w:rsidRPr="00BD2874">
        <w:rPr>
          <w:rStyle w:val="Ppogrubienie"/>
        </w:rPr>
        <w:t>§ 14.</w:t>
      </w:r>
      <w:r>
        <w:t> </w:t>
      </w:r>
      <w:r w:rsidRPr="00BD2874">
        <w:t>Dane zawarte w rejestrze prowadzonym na podstawie dotychczasowych przepisów podlegają z urzędu przeniesieniu do rejestru, o którym mowa w niniejszym rozporządzeniu, niezwłocznie, jednak nie później niż w terminie 30 dni od dnia wejścia w życie niniejszego rozporządzenia.</w:t>
      </w:r>
    </w:p>
    <w:p w:rsidR="00BD2874" w:rsidRPr="00BD2874" w:rsidRDefault="00BD2874" w:rsidP="00BD2874">
      <w:pPr>
        <w:pStyle w:val="ARTartustawynprozporzdzenia"/>
      </w:pPr>
      <w:r w:rsidRPr="00BD2874">
        <w:rPr>
          <w:rStyle w:val="Ppogrubienie"/>
        </w:rPr>
        <w:t>§ 15.</w:t>
      </w:r>
      <w:r>
        <w:t> </w:t>
      </w:r>
      <w:r w:rsidRPr="00BD2874">
        <w:t>Traci moc rozporządzenie Ministra Transportu, Budownictwa i Gospodarki Morskiej z dnia 12 grudnia 2012 r. w sprawie lotniczych urządzeń naziemnych (Dz. U. z 2013 r. poz. 121).</w:t>
      </w:r>
    </w:p>
    <w:p w:rsidR="008853EA" w:rsidRDefault="00BD2874" w:rsidP="00BD2874">
      <w:pPr>
        <w:pStyle w:val="ARTartustawynprozporzdzenia"/>
      </w:pPr>
      <w:r w:rsidRPr="00BD2874">
        <w:rPr>
          <w:rStyle w:val="Ppogrubienie"/>
        </w:rPr>
        <w:t>§ 16.</w:t>
      </w:r>
      <w:r>
        <w:t> </w:t>
      </w:r>
      <w:r w:rsidRPr="00BD2874">
        <w:t>1. Rozporządzenie wchodzi w życie po upływie 30 dni od dnia ogłoszenia, z wyjątkiem</w:t>
      </w:r>
      <w:r w:rsidR="008853EA">
        <w:t>:</w:t>
      </w:r>
    </w:p>
    <w:p w:rsidR="00BD2874" w:rsidRDefault="008853EA" w:rsidP="00AD6D2E">
      <w:pPr>
        <w:pStyle w:val="PKTpunkt"/>
      </w:pPr>
      <w:r>
        <w:t>1)</w:t>
      </w:r>
      <w:r w:rsidR="00254D1B">
        <w:tab/>
      </w:r>
      <w:r w:rsidR="00BD2874" w:rsidRPr="00BD2874">
        <w:t xml:space="preserve">§ 2 pkt </w:t>
      </w:r>
      <w:r w:rsidR="004E27F9" w:rsidRPr="00BD2874">
        <w:t>1</w:t>
      </w:r>
      <w:r w:rsidR="004E27F9">
        <w:t>7</w:t>
      </w:r>
      <w:r w:rsidR="004E27F9" w:rsidRPr="00BD2874">
        <w:t xml:space="preserve"> </w:t>
      </w:r>
      <w:r w:rsidR="00BD2874" w:rsidRPr="00BD2874">
        <w:t>lit</w:t>
      </w:r>
      <w:r w:rsidR="00703A1E">
        <w:t>.</w:t>
      </w:r>
      <w:r w:rsidR="00BD2874" w:rsidRPr="00BD2874">
        <w:t xml:space="preserve"> b, który wchodzi w życie z dniem 1 stycznia 2016 r.</w:t>
      </w:r>
      <w:r>
        <w:t>;</w:t>
      </w:r>
    </w:p>
    <w:p w:rsidR="008853EA" w:rsidRPr="00BD2874" w:rsidRDefault="008853EA" w:rsidP="00AD6D2E">
      <w:pPr>
        <w:pStyle w:val="PKTpunkt"/>
      </w:pPr>
      <w:r>
        <w:t>2)</w:t>
      </w:r>
      <w:r w:rsidR="00254D1B">
        <w:tab/>
      </w:r>
      <w:r>
        <w:t>§ 4 ust. 1 pkt 1 lit. i, który wchodzi w życie z dniem 5 lutego 2018 r.</w:t>
      </w:r>
    </w:p>
    <w:p w:rsidR="00BD2874" w:rsidRPr="00BD2874" w:rsidRDefault="00BD2874" w:rsidP="00BD2874">
      <w:pPr>
        <w:pStyle w:val="USTustnpkodeksu"/>
      </w:pPr>
      <w:r w:rsidRPr="00BD2874">
        <w:t>2.</w:t>
      </w:r>
      <w:r>
        <w:t> </w:t>
      </w:r>
      <w:r w:rsidRPr="00BD2874">
        <w:t xml:space="preserve">Przepis § 2 pkt </w:t>
      </w:r>
      <w:r w:rsidR="004E27F9" w:rsidRPr="00BD2874">
        <w:t>1</w:t>
      </w:r>
      <w:r w:rsidR="004E27F9">
        <w:t>7</w:t>
      </w:r>
      <w:r w:rsidR="004E27F9" w:rsidRPr="00BD2874">
        <w:t xml:space="preserve"> </w:t>
      </w:r>
      <w:r w:rsidRPr="00BD2874">
        <w:t>lit. a obowiązuje do dnia 31 grudnia 2015 r.</w:t>
      </w:r>
    </w:p>
    <w:p w:rsidR="00BD2874" w:rsidRPr="00BD2874" w:rsidRDefault="00BD2874" w:rsidP="003062EA">
      <w:pPr>
        <w:pStyle w:val="NAZORGWYDnazwaorganuwydajcegoprojektowanyakt"/>
      </w:pPr>
      <w:r w:rsidRPr="00BD2874">
        <w:t>MINISTER</w:t>
      </w:r>
    </w:p>
    <w:p w:rsidR="00BD2874" w:rsidRPr="00BD2874" w:rsidRDefault="00BD2874" w:rsidP="003062EA">
      <w:pPr>
        <w:pStyle w:val="NAZORGWYDnazwaorganuwydajcegoprojektowanyakt"/>
      </w:pPr>
      <w:r w:rsidRPr="00BD2874">
        <w:t>INFRASTRUKTURY I ROZWOJU</w:t>
      </w:r>
    </w:p>
    <w:p w:rsidR="00577B44" w:rsidRDefault="00577B44" w:rsidP="003062EA">
      <w:pPr>
        <w:pStyle w:val="TEKSTwporozumieniu"/>
      </w:pPr>
    </w:p>
    <w:p w:rsidR="00BD2874" w:rsidRPr="00BD2874" w:rsidRDefault="00BD2874" w:rsidP="003062EA">
      <w:pPr>
        <w:pStyle w:val="TEKSTwporozumieniu"/>
      </w:pPr>
      <w:r w:rsidRPr="00BD2874">
        <w:t>W POROZUMIENIU:</w:t>
      </w:r>
    </w:p>
    <w:p w:rsidR="00BD2874" w:rsidRPr="00BD2874" w:rsidRDefault="00BD2874" w:rsidP="003062EA">
      <w:pPr>
        <w:pStyle w:val="NAZORGWPOROZUMIENIUnazwaorganuwporozumieniuzktrymaktjestwydawany"/>
      </w:pPr>
      <w:r w:rsidRPr="00BD2874">
        <w:t>MINISTER OBRONY NARODOWEJ</w:t>
      </w:r>
    </w:p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E4" w:rsidRDefault="00C146E4">
      <w:r>
        <w:separator/>
      </w:r>
    </w:p>
  </w:endnote>
  <w:endnote w:type="continuationSeparator" w:id="0">
    <w:p w:rsidR="00C146E4" w:rsidRDefault="00C1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E4" w:rsidRDefault="00C146E4">
      <w:r>
        <w:separator/>
      </w:r>
    </w:p>
  </w:footnote>
  <w:footnote w:type="continuationSeparator" w:id="0">
    <w:p w:rsidR="00C146E4" w:rsidRDefault="00C146E4">
      <w:r>
        <w:continuationSeparator/>
      </w:r>
    </w:p>
  </w:footnote>
  <w:footnote w:id="1">
    <w:p w:rsidR="00BD2874" w:rsidRDefault="00BD2874" w:rsidP="003A3C9E">
      <w:pPr>
        <w:pStyle w:val="ODNONIKtreodnonika"/>
      </w:pPr>
      <w:r w:rsidRPr="00BD2874">
        <w:rPr>
          <w:rStyle w:val="IGindeksgrny"/>
        </w:rPr>
        <w:footnoteRef/>
      </w:r>
      <w:r w:rsidRPr="00BD2874">
        <w:rPr>
          <w:rStyle w:val="IGindeksgrny"/>
        </w:rPr>
        <w:t>)</w:t>
      </w:r>
      <w:r w:rsidRPr="00BD2874">
        <w:t xml:space="preserve"> Minister Infrastruktury i Rozwoju kieruje działem administracji rządowej – transport, na podstawie § 1 ust. 2 pkt 4 rozporządzenia Prezesa Rady Ministrów z dnia 22 września 2014 r. w sprawie szczegółowego zakresu działania Ministra Infrastruktury i Rozwoju (Dz. U. poz. 1257).</w:t>
      </w:r>
    </w:p>
  </w:footnote>
  <w:footnote w:id="2">
    <w:p w:rsidR="003A3C9E" w:rsidRDefault="003A3C9E" w:rsidP="003A3C9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3A3C9E">
        <w:t xml:space="preserve">Zmiany tekstu jednolitego wymienionej ustawy zostały ogłoszone w Dz. U. z  2014  r. poz. 768 oraz z 2015 r. </w:t>
      </w:r>
      <w:r w:rsidR="00F67C88" w:rsidRPr="00F67C88">
        <w:t>poz. 978, 1221 i 1586</w:t>
      </w:r>
      <w:r w:rsidRPr="003A3C9E">
        <w:t>.</w:t>
      </w:r>
    </w:p>
  </w:footnote>
  <w:footnote w:id="3">
    <w:p w:rsidR="00BD2874" w:rsidRPr="00BD2874" w:rsidRDefault="00BD2874" w:rsidP="00BD2874">
      <w:pPr>
        <w:pStyle w:val="ODNONIKtreodnonika"/>
        <w:rPr>
          <w:rStyle w:val="IGindeksgrny"/>
          <w:vertAlign w:val="baseline"/>
        </w:rPr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 w:rsidRPr="00BD2874">
        <w:rPr>
          <w:rStyle w:val="IGindeksgrny"/>
          <w:vertAlign w:val="baseline"/>
        </w:rPr>
        <w:t>Zmiany wymienionej konwencji zostały ogłoszone w Dz. U. z  1963 r. Nr 24, poz. 137 i 138, z 1969 r. Nr 27, poz. 210 i 211, z 1976 r. Nr 21, poz. 130 i 131, Nr 32, poz. 188 i 189 i Nr 39, poz. 227 i 228, z 1984 r. Nr 39, poz. 199 i 200, z 2000 r. Nr 39, poz. 446 i 447, z 2002 r. Nr 58, poz. 527 i 528, z 2003 r. Nr 78, poz. 700 i 701 oraz z 2012 r. poz. 368, 369, 370 i 371.</w:t>
      </w:r>
    </w:p>
  </w:footnote>
  <w:footnote w:id="4">
    <w:p w:rsidR="00BD2874" w:rsidRDefault="00BD2874" w:rsidP="00BD287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 xml:space="preserve"> Zmiany tekstu jednolitego wymienionej ustawy zostały ogłoszone w Dz. U.</w:t>
      </w:r>
      <w:r w:rsidRPr="000C66B2">
        <w:t xml:space="preserve"> z 2014 r. poz. </w:t>
      </w:r>
      <w:r>
        <w:t xml:space="preserve">40, </w:t>
      </w:r>
      <w:r w:rsidRPr="000C66B2">
        <w:t>768</w:t>
      </w:r>
      <w:r>
        <w:t>, 822</w:t>
      </w:r>
      <w:r w:rsidR="00E9634D">
        <w:t>,</w:t>
      </w:r>
      <w:r>
        <w:t xml:space="preserve"> 1133</w:t>
      </w:r>
      <w:r w:rsidR="00E9634D">
        <w:t xml:space="preserve"> i 1200 oraz z 2015 r. poz. 528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74" w:rsidRPr="00B371CC" w:rsidRDefault="00BD287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9307F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4"/>
    <w:rsid w:val="000012DA"/>
    <w:rsid w:val="0000246E"/>
    <w:rsid w:val="00003862"/>
    <w:rsid w:val="00012A35"/>
    <w:rsid w:val="000154A2"/>
    <w:rsid w:val="00016099"/>
    <w:rsid w:val="00016CEC"/>
    <w:rsid w:val="00017DC2"/>
    <w:rsid w:val="00021522"/>
    <w:rsid w:val="00023471"/>
    <w:rsid w:val="00023F13"/>
    <w:rsid w:val="00024F77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0C0"/>
    <w:rsid w:val="0008557B"/>
    <w:rsid w:val="00085CE7"/>
    <w:rsid w:val="000906EE"/>
    <w:rsid w:val="00091BA2"/>
    <w:rsid w:val="00093D3C"/>
    <w:rsid w:val="000944EF"/>
    <w:rsid w:val="0009732D"/>
    <w:rsid w:val="000973F0"/>
    <w:rsid w:val="000A03BE"/>
    <w:rsid w:val="000A066A"/>
    <w:rsid w:val="000A1296"/>
    <w:rsid w:val="000A1C27"/>
    <w:rsid w:val="000A1DAD"/>
    <w:rsid w:val="000A2649"/>
    <w:rsid w:val="000A323B"/>
    <w:rsid w:val="000A6405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5D2E"/>
    <w:rsid w:val="00106D03"/>
    <w:rsid w:val="00110465"/>
    <w:rsid w:val="00110628"/>
    <w:rsid w:val="0011245A"/>
    <w:rsid w:val="0011493E"/>
    <w:rsid w:val="001155B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6E9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092"/>
    <w:rsid w:val="00167D1C"/>
    <w:rsid w:val="00172F7A"/>
    <w:rsid w:val="00173150"/>
    <w:rsid w:val="00173390"/>
    <w:rsid w:val="001736F0"/>
    <w:rsid w:val="00173BB3"/>
    <w:rsid w:val="001740D0"/>
    <w:rsid w:val="00174F2C"/>
    <w:rsid w:val="00176BA8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506"/>
    <w:rsid w:val="001A1053"/>
    <w:rsid w:val="001A10E9"/>
    <w:rsid w:val="001A183D"/>
    <w:rsid w:val="001A2B65"/>
    <w:rsid w:val="001A3CD3"/>
    <w:rsid w:val="001A5BEF"/>
    <w:rsid w:val="001A7F15"/>
    <w:rsid w:val="001A7FC3"/>
    <w:rsid w:val="001B342E"/>
    <w:rsid w:val="001C1832"/>
    <w:rsid w:val="001C188C"/>
    <w:rsid w:val="001C2AC2"/>
    <w:rsid w:val="001D0ACB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5C97"/>
    <w:rsid w:val="0023727E"/>
    <w:rsid w:val="00242081"/>
    <w:rsid w:val="00243777"/>
    <w:rsid w:val="002441CD"/>
    <w:rsid w:val="00247C66"/>
    <w:rsid w:val="002501A3"/>
    <w:rsid w:val="0025166C"/>
    <w:rsid w:val="00254D1B"/>
    <w:rsid w:val="002555D4"/>
    <w:rsid w:val="00261A16"/>
    <w:rsid w:val="00263522"/>
    <w:rsid w:val="002639C8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EBD"/>
    <w:rsid w:val="002B7FAF"/>
    <w:rsid w:val="002C074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62EA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999"/>
    <w:rsid w:val="00334E3A"/>
    <w:rsid w:val="003361DD"/>
    <w:rsid w:val="00341A6A"/>
    <w:rsid w:val="00344130"/>
    <w:rsid w:val="00345B9C"/>
    <w:rsid w:val="00346F58"/>
    <w:rsid w:val="00347B50"/>
    <w:rsid w:val="00352DAE"/>
    <w:rsid w:val="00354EB9"/>
    <w:rsid w:val="003602AE"/>
    <w:rsid w:val="00360929"/>
    <w:rsid w:val="00363A49"/>
    <w:rsid w:val="003647D5"/>
    <w:rsid w:val="003674B0"/>
    <w:rsid w:val="0037722B"/>
    <w:rsid w:val="0037727C"/>
    <w:rsid w:val="00377E70"/>
    <w:rsid w:val="00380904"/>
    <w:rsid w:val="003823EE"/>
    <w:rsid w:val="00382960"/>
    <w:rsid w:val="003836F2"/>
    <w:rsid w:val="003846F7"/>
    <w:rsid w:val="003851ED"/>
    <w:rsid w:val="00385B39"/>
    <w:rsid w:val="00386785"/>
    <w:rsid w:val="00390E89"/>
    <w:rsid w:val="00391B1A"/>
    <w:rsid w:val="00394423"/>
    <w:rsid w:val="00395C1F"/>
    <w:rsid w:val="00396942"/>
    <w:rsid w:val="00396B49"/>
    <w:rsid w:val="00396E3E"/>
    <w:rsid w:val="003A306E"/>
    <w:rsid w:val="003A3C9E"/>
    <w:rsid w:val="003A43EF"/>
    <w:rsid w:val="003A60DC"/>
    <w:rsid w:val="003A6A46"/>
    <w:rsid w:val="003A7A63"/>
    <w:rsid w:val="003B000C"/>
    <w:rsid w:val="003B0F1D"/>
    <w:rsid w:val="003B2CA1"/>
    <w:rsid w:val="003B4A57"/>
    <w:rsid w:val="003C0AD9"/>
    <w:rsid w:val="003C0ED0"/>
    <w:rsid w:val="003C1D49"/>
    <w:rsid w:val="003C35C4"/>
    <w:rsid w:val="003D12C2"/>
    <w:rsid w:val="003D2873"/>
    <w:rsid w:val="003D30C3"/>
    <w:rsid w:val="003D31B9"/>
    <w:rsid w:val="003D3867"/>
    <w:rsid w:val="003E0D1A"/>
    <w:rsid w:val="003E2DA3"/>
    <w:rsid w:val="003E5336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450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C86"/>
    <w:rsid w:val="00445F4D"/>
    <w:rsid w:val="004504C0"/>
    <w:rsid w:val="004550FB"/>
    <w:rsid w:val="0046111A"/>
    <w:rsid w:val="004625DD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541"/>
    <w:rsid w:val="00480A58"/>
    <w:rsid w:val="00482151"/>
    <w:rsid w:val="00485FAD"/>
    <w:rsid w:val="00487AED"/>
    <w:rsid w:val="00491EDF"/>
    <w:rsid w:val="00492A3F"/>
    <w:rsid w:val="00494ADA"/>
    <w:rsid w:val="00494F62"/>
    <w:rsid w:val="004A2001"/>
    <w:rsid w:val="004A3590"/>
    <w:rsid w:val="004A6FEA"/>
    <w:rsid w:val="004B00A7"/>
    <w:rsid w:val="004B25E2"/>
    <w:rsid w:val="004B34D7"/>
    <w:rsid w:val="004B5037"/>
    <w:rsid w:val="004B5B2F"/>
    <w:rsid w:val="004B626A"/>
    <w:rsid w:val="004B660E"/>
    <w:rsid w:val="004C05BD"/>
    <w:rsid w:val="004C2866"/>
    <w:rsid w:val="004C31A2"/>
    <w:rsid w:val="004C3B06"/>
    <w:rsid w:val="004C3F97"/>
    <w:rsid w:val="004C7EE7"/>
    <w:rsid w:val="004D2DEE"/>
    <w:rsid w:val="004D2E1F"/>
    <w:rsid w:val="004D7FD9"/>
    <w:rsid w:val="004E1324"/>
    <w:rsid w:val="004E19A5"/>
    <w:rsid w:val="004E27F9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2548"/>
    <w:rsid w:val="00503AF3"/>
    <w:rsid w:val="0050696D"/>
    <w:rsid w:val="0051094B"/>
    <w:rsid w:val="005110D7"/>
    <w:rsid w:val="00511D99"/>
    <w:rsid w:val="005128D3"/>
    <w:rsid w:val="005147E8"/>
    <w:rsid w:val="005158F2"/>
    <w:rsid w:val="00522135"/>
    <w:rsid w:val="005229CD"/>
    <w:rsid w:val="00526DFC"/>
    <w:rsid w:val="00526F43"/>
    <w:rsid w:val="00527651"/>
    <w:rsid w:val="005363AB"/>
    <w:rsid w:val="00536792"/>
    <w:rsid w:val="0054396A"/>
    <w:rsid w:val="00544EF4"/>
    <w:rsid w:val="00545E53"/>
    <w:rsid w:val="005479D9"/>
    <w:rsid w:val="00554C51"/>
    <w:rsid w:val="005572BD"/>
    <w:rsid w:val="00557A12"/>
    <w:rsid w:val="00560AC7"/>
    <w:rsid w:val="00561A2A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B44"/>
    <w:rsid w:val="005835E7"/>
    <w:rsid w:val="0058397F"/>
    <w:rsid w:val="00583BF8"/>
    <w:rsid w:val="00585F33"/>
    <w:rsid w:val="00591124"/>
    <w:rsid w:val="005921A9"/>
    <w:rsid w:val="00597024"/>
    <w:rsid w:val="005A0274"/>
    <w:rsid w:val="005A095C"/>
    <w:rsid w:val="005A09DE"/>
    <w:rsid w:val="005A669D"/>
    <w:rsid w:val="005A75D8"/>
    <w:rsid w:val="005B713E"/>
    <w:rsid w:val="005C03B6"/>
    <w:rsid w:val="005C348E"/>
    <w:rsid w:val="005C3E45"/>
    <w:rsid w:val="005C68E1"/>
    <w:rsid w:val="005D3763"/>
    <w:rsid w:val="005D55E1"/>
    <w:rsid w:val="005D6B94"/>
    <w:rsid w:val="005E19F7"/>
    <w:rsid w:val="005E26C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04E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3B38"/>
    <w:rsid w:val="00657BF4"/>
    <w:rsid w:val="006603FB"/>
    <w:rsid w:val="006608DF"/>
    <w:rsid w:val="006623AC"/>
    <w:rsid w:val="0066457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DA7"/>
    <w:rsid w:val="006946BB"/>
    <w:rsid w:val="006969FA"/>
    <w:rsid w:val="006A18C2"/>
    <w:rsid w:val="006A2FED"/>
    <w:rsid w:val="006A35D5"/>
    <w:rsid w:val="006A748A"/>
    <w:rsid w:val="006C419E"/>
    <w:rsid w:val="006C4A31"/>
    <w:rsid w:val="006C4C09"/>
    <w:rsid w:val="006C5AC2"/>
    <w:rsid w:val="006C6AFB"/>
    <w:rsid w:val="006D2735"/>
    <w:rsid w:val="006D45B2"/>
    <w:rsid w:val="006D666D"/>
    <w:rsid w:val="006E0FCC"/>
    <w:rsid w:val="006E1E96"/>
    <w:rsid w:val="006E5E21"/>
    <w:rsid w:val="006E5E84"/>
    <w:rsid w:val="006F1B71"/>
    <w:rsid w:val="006F2648"/>
    <w:rsid w:val="006F2F10"/>
    <w:rsid w:val="006F482B"/>
    <w:rsid w:val="006F6311"/>
    <w:rsid w:val="00701952"/>
    <w:rsid w:val="00702556"/>
    <w:rsid w:val="0070277E"/>
    <w:rsid w:val="00703A1E"/>
    <w:rsid w:val="00704156"/>
    <w:rsid w:val="007069FC"/>
    <w:rsid w:val="007102D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99B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766"/>
    <w:rsid w:val="00771883"/>
    <w:rsid w:val="007728AE"/>
    <w:rsid w:val="00776DC2"/>
    <w:rsid w:val="00780122"/>
    <w:rsid w:val="0078214B"/>
    <w:rsid w:val="0078498A"/>
    <w:rsid w:val="0078779C"/>
    <w:rsid w:val="00792207"/>
    <w:rsid w:val="00792B64"/>
    <w:rsid w:val="00792E29"/>
    <w:rsid w:val="0079379A"/>
    <w:rsid w:val="00794953"/>
    <w:rsid w:val="007A1F2F"/>
    <w:rsid w:val="007A2A5C"/>
    <w:rsid w:val="007A3A8D"/>
    <w:rsid w:val="007A5150"/>
    <w:rsid w:val="007A5373"/>
    <w:rsid w:val="007A789F"/>
    <w:rsid w:val="007B75BC"/>
    <w:rsid w:val="007C0BD6"/>
    <w:rsid w:val="007C1400"/>
    <w:rsid w:val="007C1601"/>
    <w:rsid w:val="007C3806"/>
    <w:rsid w:val="007C5BB7"/>
    <w:rsid w:val="007C7A00"/>
    <w:rsid w:val="007D07D5"/>
    <w:rsid w:val="007D1C64"/>
    <w:rsid w:val="007D32DD"/>
    <w:rsid w:val="007D6DCE"/>
    <w:rsid w:val="007D72C4"/>
    <w:rsid w:val="007E2CFE"/>
    <w:rsid w:val="007E3275"/>
    <w:rsid w:val="007E59C9"/>
    <w:rsid w:val="007F0072"/>
    <w:rsid w:val="007F2EB6"/>
    <w:rsid w:val="007F54C3"/>
    <w:rsid w:val="00802949"/>
    <w:rsid w:val="0080301E"/>
    <w:rsid w:val="0080365F"/>
    <w:rsid w:val="00804FF8"/>
    <w:rsid w:val="00812BE5"/>
    <w:rsid w:val="0081680C"/>
    <w:rsid w:val="00817429"/>
    <w:rsid w:val="00821514"/>
    <w:rsid w:val="00821E35"/>
    <w:rsid w:val="00824591"/>
    <w:rsid w:val="00824AED"/>
    <w:rsid w:val="00827820"/>
    <w:rsid w:val="008319A3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96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3EA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EED"/>
    <w:rsid w:val="008C3524"/>
    <w:rsid w:val="008C4061"/>
    <w:rsid w:val="008C4229"/>
    <w:rsid w:val="008C5BE0"/>
    <w:rsid w:val="008C7233"/>
    <w:rsid w:val="008D14F0"/>
    <w:rsid w:val="008D2434"/>
    <w:rsid w:val="008E171D"/>
    <w:rsid w:val="008E2785"/>
    <w:rsid w:val="008E49CD"/>
    <w:rsid w:val="008E78A3"/>
    <w:rsid w:val="008F0056"/>
    <w:rsid w:val="008F0654"/>
    <w:rsid w:val="008F06CB"/>
    <w:rsid w:val="008F2E83"/>
    <w:rsid w:val="008F5ED0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361"/>
    <w:rsid w:val="00963EEB"/>
    <w:rsid w:val="009648BC"/>
    <w:rsid w:val="00964C2F"/>
    <w:rsid w:val="00965F88"/>
    <w:rsid w:val="00984E03"/>
    <w:rsid w:val="009868EF"/>
    <w:rsid w:val="00987E85"/>
    <w:rsid w:val="009921D2"/>
    <w:rsid w:val="009A0D12"/>
    <w:rsid w:val="009A1987"/>
    <w:rsid w:val="009A2BEE"/>
    <w:rsid w:val="009A4A8D"/>
    <w:rsid w:val="009A5289"/>
    <w:rsid w:val="009A7387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64B"/>
    <w:rsid w:val="009E3E77"/>
    <w:rsid w:val="009E3FAB"/>
    <w:rsid w:val="009E5B3F"/>
    <w:rsid w:val="009E6FD0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347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28C"/>
    <w:rsid w:val="00A377BE"/>
    <w:rsid w:val="00A37E70"/>
    <w:rsid w:val="00A402A6"/>
    <w:rsid w:val="00A437E1"/>
    <w:rsid w:val="00A4685E"/>
    <w:rsid w:val="00A50CD4"/>
    <w:rsid w:val="00A51191"/>
    <w:rsid w:val="00A53C8D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3C38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E4A"/>
    <w:rsid w:val="00AA667C"/>
    <w:rsid w:val="00AA6E91"/>
    <w:rsid w:val="00AA7439"/>
    <w:rsid w:val="00AB047E"/>
    <w:rsid w:val="00AB0B0A"/>
    <w:rsid w:val="00AB0BB7"/>
    <w:rsid w:val="00AB22C6"/>
    <w:rsid w:val="00AB2AD0"/>
    <w:rsid w:val="00AB3308"/>
    <w:rsid w:val="00AB67FC"/>
    <w:rsid w:val="00AC00F2"/>
    <w:rsid w:val="00AC31B5"/>
    <w:rsid w:val="00AC3B3B"/>
    <w:rsid w:val="00AC4EA1"/>
    <w:rsid w:val="00AC5381"/>
    <w:rsid w:val="00AC5920"/>
    <w:rsid w:val="00AD0E65"/>
    <w:rsid w:val="00AD2BF2"/>
    <w:rsid w:val="00AD4E90"/>
    <w:rsid w:val="00AD5422"/>
    <w:rsid w:val="00AD6007"/>
    <w:rsid w:val="00AD6AC7"/>
    <w:rsid w:val="00AD6D2E"/>
    <w:rsid w:val="00AE4179"/>
    <w:rsid w:val="00AE4425"/>
    <w:rsid w:val="00AE4FBE"/>
    <w:rsid w:val="00AE5511"/>
    <w:rsid w:val="00AE57AA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5C0"/>
    <w:rsid w:val="00B07700"/>
    <w:rsid w:val="00B13921"/>
    <w:rsid w:val="00B1528C"/>
    <w:rsid w:val="00B16ACD"/>
    <w:rsid w:val="00B21487"/>
    <w:rsid w:val="00B232D1"/>
    <w:rsid w:val="00B24DB5"/>
    <w:rsid w:val="00B31C6D"/>
    <w:rsid w:val="00B31F9E"/>
    <w:rsid w:val="00B3268F"/>
    <w:rsid w:val="00B32C2C"/>
    <w:rsid w:val="00B33A1A"/>
    <w:rsid w:val="00B33E6C"/>
    <w:rsid w:val="00B371CC"/>
    <w:rsid w:val="00B37660"/>
    <w:rsid w:val="00B41CD9"/>
    <w:rsid w:val="00B427E6"/>
    <w:rsid w:val="00B428A6"/>
    <w:rsid w:val="00B43E1F"/>
    <w:rsid w:val="00B45FBC"/>
    <w:rsid w:val="00B46AC8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2C7"/>
    <w:rsid w:val="00B90500"/>
    <w:rsid w:val="00B9176C"/>
    <w:rsid w:val="00B935A4"/>
    <w:rsid w:val="00B96758"/>
    <w:rsid w:val="00BA561A"/>
    <w:rsid w:val="00BB0DC6"/>
    <w:rsid w:val="00BB15E4"/>
    <w:rsid w:val="00BB1E19"/>
    <w:rsid w:val="00BB21D1"/>
    <w:rsid w:val="00BB32F2"/>
    <w:rsid w:val="00BB37BC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874"/>
    <w:rsid w:val="00BD34AA"/>
    <w:rsid w:val="00BD42D2"/>
    <w:rsid w:val="00BE0C44"/>
    <w:rsid w:val="00BE1B8B"/>
    <w:rsid w:val="00BE2A18"/>
    <w:rsid w:val="00BE2C01"/>
    <w:rsid w:val="00BE41EC"/>
    <w:rsid w:val="00BE56FB"/>
    <w:rsid w:val="00BE7267"/>
    <w:rsid w:val="00BF3DDE"/>
    <w:rsid w:val="00BF6589"/>
    <w:rsid w:val="00BF6F7F"/>
    <w:rsid w:val="00BF76AF"/>
    <w:rsid w:val="00C00647"/>
    <w:rsid w:val="00C02764"/>
    <w:rsid w:val="00C027BF"/>
    <w:rsid w:val="00C04A39"/>
    <w:rsid w:val="00C04CEF"/>
    <w:rsid w:val="00C0662F"/>
    <w:rsid w:val="00C11943"/>
    <w:rsid w:val="00C12E96"/>
    <w:rsid w:val="00C146E4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1816"/>
    <w:rsid w:val="00C823DA"/>
    <w:rsid w:val="00C8259F"/>
    <w:rsid w:val="00C82746"/>
    <w:rsid w:val="00C8312F"/>
    <w:rsid w:val="00C83952"/>
    <w:rsid w:val="00C84C47"/>
    <w:rsid w:val="00C858A4"/>
    <w:rsid w:val="00C86AFA"/>
    <w:rsid w:val="00C92BC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16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17EDD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4633"/>
    <w:rsid w:val="00D55290"/>
    <w:rsid w:val="00D55344"/>
    <w:rsid w:val="00D57791"/>
    <w:rsid w:val="00D6046A"/>
    <w:rsid w:val="00D62870"/>
    <w:rsid w:val="00D655D9"/>
    <w:rsid w:val="00D65872"/>
    <w:rsid w:val="00D67219"/>
    <w:rsid w:val="00D676F3"/>
    <w:rsid w:val="00D70EF5"/>
    <w:rsid w:val="00D71024"/>
    <w:rsid w:val="00D71A25"/>
    <w:rsid w:val="00D71FCF"/>
    <w:rsid w:val="00D72A54"/>
    <w:rsid w:val="00D72CC1"/>
    <w:rsid w:val="00D76EC9"/>
    <w:rsid w:val="00D80A70"/>
    <w:rsid w:val="00D80E7D"/>
    <w:rsid w:val="00D81397"/>
    <w:rsid w:val="00D83DC5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D3D"/>
    <w:rsid w:val="00DE1554"/>
    <w:rsid w:val="00DE2901"/>
    <w:rsid w:val="00DE4337"/>
    <w:rsid w:val="00DE590F"/>
    <w:rsid w:val="00DE6BCA"/>
    <w:rsid w:val="00DE7DC1"/>
    <w:rsid w:val="00DF3F7E"/>
    <w:rsid w:val="00DF44D9"/>
    <w:rsid w:val="00DF7648"/>
    <w:rsid w:val="00E00E29"/>
    <w:rsid w:val="00E02BAB"/>
    <w:rsid w:val="00E04CEB"/>
    <w:rsid w:val="00E060BC"/>
    <w:rsid w:val="00E11420"/>
    <w:rsid w:val="00E132FB"/>
    <w:rsid w:val="00E14D9E"/>
    <w:rsid w:val="00E170B7"/>
    <w:rsid w:val="00E177DD"/>
    <w:rsid w:val="00E20900"/>
    <w:rsid w:val="00E20C7F"/>
    <w:rsid w:val="00E2396E"/>
    <w:rsid w:val="00E24728"/>
    <w:rsid w:val="00E276AC"/>
    <w:rsid w:val="00E30E5E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DFB"/>
    <w:rsid w:val="00E75DDA"/>
    <w:rsid w:val="00E773E8"/>
    <w:rsid w:val="00E83ADD"/>
    <w:rsid w:val="00E84F38"/>
    <w:rsid w:val="00E85623"/>
    <w:rsid w:val="00E87441"/>
    <w:rsid w:val="00E91FAE"/>
    <w:rsid w:val="00E9307F"/>
    <w:rsid w:val="00E94961"/>
    <w:rsid w:val="00E9634D"/>
    <w:rsid w:val="00E96E3F"/>
    <w:rsid w:val="00EA0FB2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756"/>
    <w:rsid w:val="00F2668F"/>
    <w:rsid w:val="00F2742F"/>
    <w:rsid w:val="00F2753B"/>
    <w:rsid w:val="00F33F8B"/>
    <w:rsid w:val="00F340B2"/>
    <w:rsid w:val="00F36A99"/>
    <w:rsid w:val="00F42355"/>
    <w:rsid w:val="00F42D2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FA3"/>
    <w:rsid w:val="00F62E4D"/>
    <w:rsid w:val="00F632A7"/>
    <w:rsid w:val="00F66B34"/>
    <w:rsid w:val="00F675B9"/>
    <w:rsid w:val="00F67C88"/>
    <w:rsid w:val="00F711C9"/>
    <w:rsid w:val="00F74C59"/>
    <w:rsid w:val="00F75C3A"/>
    <w:rsid w:val="00F76990"/>
    <w:rsid w:val="00F82E30"/>
    <w:rsid w:val="00F831CB"/>
    <w:rsid w:val="00F83EBE"/>
    <w:rsid w:val="00F848A3"/>
    <w:rsid w:val="00F84ACF"/>
    <w:rsid w:val="00F85558"/>
    <w:rsid w:val="00F85742"/>
    <w:rsid w:val="00F85BF8"/>
    <w:rsid w:val="00F871CE"/>
    <w:rsid w:val="00F87802"/>
    <w:rsid w:val="00F92C0A"/>
    <w:rsid w:val="00F9415B"/>
    <w:rsid w:val="00FA0483"/>
    <w:rsid w:val="00FA13C2"/>
    <w:rsid w:val="00FA7F91"/>
    <w:rsid w:val="00FB121C"/>
    <w:rsid w:val="00FB1CDD"/>
    <w:rsid w:val="00FB2C2F"/>
    <w:rsid w:val="00FB305C"/>
    <w:rsid w:val="00FB73A8"/>
    <w:rsid w:val="00FC2E3D"/>
    <w:rsid w:val="00FC3BDE"/>
    <w:rsid w:val="00FC647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766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766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e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5B3A6F-2523-4D74-B3F5-E3DEFCF4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18</Pages>
  <Words>4605</Words>
  <Characters>27635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Sękowski Piotr</dc:creator>
  <cp:lastModifiedBy>Sękowski Piotr</cp:lastModifiedBy>
  <cp:revision>2</cp:revision>
  <cp:lastPrinted>2015-05-20T07:39:00Z</cp:lastPrinted>
  <dcterms:created xsi:type="dcterms:W3CDTF">2015-10-27T11:13:00Z</dcterms:created>
  <dcterms:modified xsi:type="dcterms:W3CDTF">2015-10-27T11:13:00Z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