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0B" w:rsidRPr="00CA100B" w:rsidRDefault="00CA100B" w:rsidP="00CA100B">
      <w:pPr>
        <w:tabs>
          <w:tab w:val="left" w:pos="5415"/>
        </w:tabs>
        <w:spacing w:after="120" w:line="276" w:lineRule="auto"/>
        <w:rPr>
          <w:rFonts w:ascii="Times New Roman" w:eastAsia="Times New Roman" w:hAnsi="Times New Roman" w:cs="Arial"/>
          <w:color w:val="000000"/>
          <w:sz w:val="24"/>
          <w:szCs w:val="20"/>
          <w:lang w:eastAsia="pl-PL"/>
        </w:rPr>
      </w:pPr>
      <w:bookmarkStart w:id="0" w:name="_GoBack"/>
      <w:bookmarkEnd w:id="0"/>
      <w:r w:rsidRPr="00CA100B">
        <w:rPr>
          <w:rFonts w:ascii="Times New Roman" w:eastAsia="Times New Roman" w:hAnsi="Times New Roman" w:cs="Arial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Projekt z dnia </w:t>
      </w:r>
      <w:r w:rsidRPr="00CA100B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3 listopada 2017 </w:t>
      </w:r>
      <w:r w:rsidRPr="00CA100B">
        <w:rPr>
          <w:rFonts w:ascii="Times New Roman" w:eastAsia="Times New Roman" w:hAnsi="Times New Roman" w:cs="Arial"/>
          <w:color w:val="000000"/>
          <w:sz w:val="24"/>
          <w:szCs w:val="20"/>
          <w:lang w:eastAsia="pl-PL"/>
        </w:rPr>
        <w:t>r.</w:t>
      </w:r>
    </w:p>
    <w:p w:rsidR="00CA100B" w:rsidRPr="00CA100B" w:rsidRDefault="00CA100B" w:rsidP="00CA100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" w:eastAsia="Times New Roman" w:hAnsi="A" w:cs="Times New Roman"/>
          <w:color w:val="000000"/>
          <w:sz w:val="20"/>
          <w:szCs w:val="20"/>
          <w:lang w:eastAsia="pl-PL"/>
        </w:rPr>
      </w:pPr>
    </w:p>
    <w:p w:rsidR="00CA100B" w:rsidRPr="00CA100B" w:rsidRDefault="00CA100B" w:rsidP="00CA100B">
      <w:pPr>
        <w:spacing w:after="120" w:line="276" w:lineRule="auto"/>
        <w:jc w:val="center"/>
        <w:rPr>
          <w:rFonts w:ascii="Times" w:eastAsia="Times New Roman" w:hAnsi="Times" w:cs="Times New Roman"/>
          <w:b/>
          <w:caps/>
          <w:color w:val="000000"/>
          <w:spacing w:val="54"/>
          <w:kern w:val="24"/>
          <w:sz w:val="24"/>
          <w:szCs w:val="24"/>
          <w:lang w:eastAsia="pl-PL"/>
        </w:rPr>
      </w:pPr>
      <w:r w:rsidRPr="00CA100B">
        <w:rPr>
          <w:rFonts w:ascii="Times" w:eastAsia="Times New Roman" w:hAnsi="Times" w:cs="Times New Roman"/>
          <w:b/>
          <w:caps/>
          <w:color w:val="000000"/>
          <w:spacing w:val="54"/>
          <w:kern w:val="24"/>
          <w:sz w:val="24"/>
          <w:szCs w:val="24"/>
          <w:lang w:eastAsia="pl-PL"/>
        </w:rPr>
        <w:t>ROZPORZĄDZENIE</w:t>
      </w:r>
    </w:p>
    <w:p w:rsidR="00CA100B" w:rsidRPr="00CA100B" w:rsidRDefault="00CA100B" w:rsidP="00CA100B">
      <w:pPr>
        <w:keepNext/>
        <w:suppressAutoHyphens/>
        <w:spacing w:after="120"/>
        <w:jc w:val="center"/>
        <w:rPr>
          <w:rFonts w:ascii="Times" w:eastAsia="Times New Roman" w:hAnsi="Times" w:cs="Times New Roman"/>
          <w:b/>
          <w:caps/>
          <w:color w:val="000000"/>
          <w:spacing w:val="54"/>
          <w:kern w:val="24"/>
          <w:sz w:val="24"/>
          <w:szCs w:val="24"/>
          <w:lang w:eastAsia="pl-PL"/>
        </w:rPr>
      </w:pPr>
      <w:r w:rsidRPr="00CA100B">
        <w:rPr>
          <w:rFonts w:ascii="Times" w:eastAsia="Times New Roman" w:hAnsi="Times" w:cs="Times New Roman"/>
          <w:b/>
          <w:caps/>
          <w:color w:val="000000"/>
          <w:spacing w:val="54"/>
          <w:kern w:val="24"/>
          <w:sz w:val="24"/>
          <w:szCs w:val="24"/>
          <w:lang w:eastAsia="pl-PL"/>
        </w:rPr>
        <w:t>MINISTRA INFRATRUKTURY I BUDOWNICTWA</w:t>
      </w:r>
      <w:r w:rsidRPr="00CA100B">
        <w:rPr>
          <w:rFonts w:ascii="Times" w:eastAsia="Times New Roman" w:hAnsi="Times" w:cs="Times New Roman"/>
          <w:b/>
          <w:caps/>
          <w:color w:val="000000"/>
          <w:spacing w:val="54"/>
          <w:kern w:val="24"/>
          <w:sz w:val="24"/>
          <w:vertAlign w:val="superscript"/>
          <w:lang w:eastAsia="pl-PL"/>
        </w:rPr>
        <w:footnoteReference w:id="1"/>
      </w:r>
      <w:r w:rsidRPr="00CA100B">
        <w:rPr>
          <w:rFonts w:ascii="Times" w:eastAsia="Times New Roman" w:hAnsi="Times" w:cs="Times New Roman"/>
          <w:b/>
          <w:caps/>
          <w:color w:val="000000"/>
          <w:spacing w:val="54"/>
          <w:kern w:val="24"/>
          <w:sz w:val="24"/>
          <w:szCs w:val="24"/>
          <w:vertAlign w:val="superscript"/>
          <w:lang w:eastAsia="pl-PL"/>
        </w:rPr>
        <w:t>)</w:t>
      </w:r>
    </w:p>
    <w:p w:rsidR="00CA100B" w:rsidRPr="00CA100B" w:rsidRDefault="00CA100B" w:rsidP="00CA100B">
      <w:pPr>
        <w:keepNext/>
        <w:suppressAutoHyphens/>
        <w:spacing w:before="120" w:after="120"/>
        <w:jc w:val="center"/>
        <w:rPr>
          <w:rFonts w:ascii="Times" w:eastAsia="Times New Roman" w:hAnsi="Times" w:cs="Arial"/>
          <w:color w:val="000000"/>
          <w:sz w:val="24"/>
          <w:szCs w:val="24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4"/>
          <w:lang w:eastAsia="pl-PL"/>
        </w:rPr>
        <w:t>z dnia ………….….. 2017 r.</w:t>
      </w:r>
    </w:p>
    <w:p w:rsidR="00CA100B" w:rsidRPr="00CA100B" w:rsidRDefault="00CA100B" w:rsidP="00CA100B">
      <w:pPr>
        <w:keepNext/>
        <w:suppressAutoHyphens/>
        <w:spacing w:before="120" w:after="360"/>
        <w:jc w:val="center"/>
        <w:rPr>
          <w:rFonts w:ascii="Times" w:eastAsia="Times New Roman" w:hAnsi="Times" w:cs="Arial"/>
          <w:b/>
          <w:color w:val="000000"/>
          <w:sz w:val="24"/>
          <w:szCs w:val="24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4"/>
          <w:lang w:eastAsia="pl-PL"/>
        </w:rPr>
        <w:t xml:space="preserve">w sprawie wymagań technicznych i eksploatacyjnych dla lotnisk użytku publicznego </w:t>
      </w:r>
      <w:r w:rsidRPr="00CA100B">
        <w:rPr>
          <w:rFonts w:ascii="Times" w:eastAsia="Times New Roman" w:hAnsi="Times" w:cs="Arial"/>
          <w:b/>
          <w:color w:val="000000"/>
          <w:sz w:val="24"/>
          <w:szCs w:val="24"/>
          <w:lang w:eastAsia="pl-PL"/>
        </w:rPr>
        <w:br/>
        <w:t>podlegających obowiązkowi certyfikacji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Na podstawie art. 59a ust. 5 ustawy z dnia 3 lipca 2002 r. – Prawo lotnicze (Dz. U. z 2017 r. poz. 959 i 1089) zarządza się, co następuje:</w:t>
      </w:r>
    </w:p>
    <w:p w:rsidR="00CA100B" w:rsidRPr="00CA100B" w:rsidRDefault="00CA100B" w:rsidP="00CA100B">
      <w:pPr>
        <w:keepNext/>
        <w:suppressAutoHyphens/>
        <w:spacing w:before="120" w:after="0"/>
        <w:jc w:val="center"/>
        <w:outlineLvl w:val="0"/>
        <w:rPr>
          <w:rFonts w:ascii="Times" w:eastAsia="Times New Roman" w:hAnsi="Times" w:cs="Arial"/>
          <w:b/>
          <w:color w:val="000000"/>
          <w:kern w:val="24"/>
          <w:sz w:val="24"/>
          <w:szCs w:val="24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kern w:val="24"/>
          <w:sz w:val="24"/>
          <w:szCs w:val="24"/>
          <w:lang w:eastAsia="pl-PL"/>
        </w:rPr>
        <w:t>Rozdział 1</w:t>
      </w:r>
    </w:p>
    <w:p w:rsidR="00CA100B" w:rsidRPr="00CA100B" w:rsidRDefault="00CA100B" w:rsidP="00CA100B">
      <w:pPr>
        <w:keepNext/>
        <w:suppressAutoHyphens/>
        <w:spacing w:before="120" w:after="0"/>
        <w:jc w:val="center"/>
        <w:rPr>
          <w:rFonts w:ascii="Times" w:eastAsia="Times New Roman" w:hAnsi="Times" w:cs="Times New Roman"/>
          <w:b/>
          <w:color w:val="000000"/>
          <w:sz w:val="24"/>
          <w:szCs w:val="24"/>
          <w:lang w:eastAsia="pl-PL"/>
        </w:rPr>
      </w:pPr>
      <w:r w:rsidRPr="00CA100B">
        <w:rPr>
          <w:rFonts w:ascii="Times" w:eastAsia="Times New Roman" w:hAnsi="Times" w:cs="Times New Roman"/>
          <w:b/>
          <w:color w:val="000000"/>
          <w:sz w:val="24"/>
          <w:szCs w:val="24"/>
          <w:lang w:eastAsia="pl-PL"/>
        </w:rPr>
        <w:t>Przepisy ogólne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t>§ 1.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 Rozporządzenie określa wymagania techniczne i eksploatacyjne dla lotnisk użytku publicznego podlegających obowiązkowi certyfikacji, o których mowa w art. 59a ust. 1 pkt 1 ustawy z dnia 3 lipca 2002 r. – Prawo lotnicze, zwanej dalej „ustawą”.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t>§ 2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. 1. Ilekroć w rozporządzeniu jest mowa o: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1)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 xml:space="preserve">Załączniku 14 tom I − należy przez to rozumieć Załącznik 14 „Lotniska” tom I „Projektowanie i eksploatacja lotnisk” do Konwencji o międzynarodowym lotnictwie cywilnym, sporządzonej w Chicago dnia 7 grudnia 1944 r. (Dz. U. z 1959 r. poz. 212 i 214, z </w:t>
      </w:r>
      <w:proofErr w:type="spellStart"/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późn</w:t>
      </w:r>
      <w:proofErr w:type="spellEnd"/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. zm.</w:t>
      </w:r>
      <w:r w:rsidRPr="00CA100B">
        <w:rPr>
          <w:rFonts w:ascii="Times" w:eastAsia="Times New Roman" w:hAnsi="Times" w:cs="Times New Roman"/>
          <w:color w:val="000000"/>
          <w:sz w:val="24"/>
          <w:vertAlign w:val="superscript"/>
          <w:lang w:eastAsia="pl-PL"/>
        </w:rPr>
        <w:footnoteReference w:id="2"/>
      </w:r>
      <w:r w:rsidRPr="00CA100B">
        <w:rPr>
          <w:rFonts w:ascii="Times" w:eastAsia="Times New Roman" w:hAnsi="Times" w:cs="Times New Roman"/>
          <w:color w:val="000000"/>
          <w:sz w:val="24"/>
          <w:szCs w:val="20"/>
          <w:vertAlign w:val="superscript"/>
          <w:lang w:eastAsia="pl-PL"/>
        </w:rPr>
        <w:t>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), ogłoszony w załączniku do obwieszczenia nr …. Prezesa Urzędu Lotnictwa Cywilnego z dnia…………..r. w sprawie ogłoszenia tekstu Załącznika 14 tom I do Konwencji o międzynarodowym lotnictwie cywilnym, sporządzonej w Chicago dnia 7 grudnia 1944 r. (Dz. Urz. ULC……..) (w brzmieniu z dnia…);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2)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 xml:space="preserve">Załączniku 14 tom II − należy przez to rozumieć Załącznik 14 „Lotniska” tom II „Lotniska dla śmigłowców” do Konwencji o międzynarodowym lotnictwie cywilnym, sporządzonej w Chicago dnia 7 grudnia 1944 r., ogłoszony w załączniku do obwieszczenia nr .... Prezesa Urzędu Lotnictwa Cywilnego z dnia .................. r. w sprawie ogłoszenia tekstu Załącznika 14, tom II do Konwencji o międzynarodowym 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lastRenderedPageBreak/>
        <w:t>lotnictwie cywilnym, sporządzonej w Chicago dnia 7 grudnia 1944 r. (Dz. Urz. ULC ................) (w brzmieniu z dnia…).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2. Kompetencje i obowiązki „właściwej władzy” i „państwa”, o których mowa w przepisach Załącznika 14 do Konwencji tom I lub II, wskazanych w niniejszym rozporządzeniu, pełni Prezes Urzędu Lotnictwa Cywilnego.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sz w:val="24"/>
          <w:szCs w:val="20"/>
          <w:lang w:eastAsia="pl-PL"/>
        </w:rPr>
        <w:t>§ 3.</w:t>
      </w:r>
      <w:r w:rsidRPr="00CA100B">
        <w:rPr>
          <w:rFonts w:ascii="Times" w:eastAsia="Times New Roman" w:hAnsi="Times" w:cs="Arial"/>
          <w:sz w:val="24"/>
          <w:szCs w:val="20"/>
          <w:lang w:eastAsia="pl-PL"/>
        </w:rPr>
        <w:t xml:space="preserve">  Rozporządzenie ma zastosowanie do lotnisk, o których mowa w art. 4 ust. 3a rozporządzenia Parlamentu Europejskiego i Rady (WE) nr 216/2008 z dnia 20 lutego 2008 r. w sprawie wspólnych zasad w zakresie lotnictwa cywilnego i utworzenia Europejskiej Agencji Bezpieczeństwa Lotniczego oraz uchylającego dyrektywę Rady 91/670/EWG, rozporządzenie (WE) nr 1592/2002 i dyrektywę 2004/36/WE (Dz. Urz. UE L 79 z 19.03.2008, str. 1, z </w:t>
      </w:r>
      <w:proofErr w:type="spellStart"/>
      <w:r w:rsidRPr="00CA100B">
        <w:rPr>
          <w:rFonts w:ascii="Times" w:eastAsia="Times New Roman" w:hAnsi="Times" w:cs="Arial"/>
          <w:sz w:val="24"/>
          <w:szCs w:val="20"/>
          <w:lang w:eastAsia="pl-PL"/>
        </w:rPr>
        <w:t>późn</w:t>
      </w:r>
      <w:proofErr w:type="spellEnd"/>
      <w:r w:rsidRPr="00CA100B">
        <w:rPr>
          <w:rFonts w:ascii="Times" w:eastAsia="Times New Roman" w:hAnsi="Times" w:cs="Arial"/>
          <w:sz w:val="24"/>
          <w:szCs w:val="20"/>
          <w:lang w:eastAsia="pl-PL"/>
        </w:rPr>
        <w:t>. zm.</w:t>
      </w:r>
      <w:r w:rsidRPr="00CA100B">
        <w:rPr>
          <w:rFonts w:ascii="Times" w:eastAsia="Times New Roman" w:hAnsi="Times" w:cs="Times New Roman"/>
          <w:sz w:val="24"/>
          <w:szCs w:val="20"/>
          <w:vertAlign w:val="superscript"/>
          <w:lang w:eastAsia="pl-PL"/>
        </w:rPr>
        <w:footnoteReference w:id="3"/>
      </w:r>
      <w:r w:rsidRPr="00CA100B">
        <w:rPr>
          <w:rFonts w:ascii="Times" w:eastAsia="Times New Roman" w:hAnsi="Times" w:cs="Times New Roman"/>
          <w:sz w:val="24"/>
          <w:szCs w:val="20"/>
          <w:vertAlign w:val="superscript"/>
          <w:lang w:eastAsia="pl-PL"/>
        </w:rPr>
        <w:t>)</w:t>
      </w:r>
      <w:r w:rsidRPr="00CA100B">
        <w:rPr>
          <w:rFonts w:ascii="Times" w:eastAsia="Times New Roman" w:hAnsi="Times" w:cs="Arial"/>
          <w:sz w:val="24"/>
          <w:szCs w:val="20"/>
          <w:lang w:eastAsia="pl-PL"/>
        </w:rPr>
        <w:t>):</w:t>
      </w:r>
    </w:p>
    <w:p w:rsidR="00CA100B" w:rsidRPr="00CA100B" w:rsidRDefault="00CA100B" w:rsidP="00CA100B">
      <w:pPr>
        <w:suppressAutoHyphens/>
        <w:autoSpaceDN w:val="0"/>
        <w:spacing w:after="0"/>
        <w:ind w:left="510" w:hanging="510"/>
        <w:textAlignment w:val="baseline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Cs/>
          <w:sz w:val="24"/>
          <w:szCs w:val="20"/>
          <w:lang w:eastAsia="pl-PL"/>
        </w:rPr>
        <w:t>1)</w:t>
      </w:r>
      <w:r w:rsidRPr="00CA100B">
        <w:rPr>
          <w:rFonts w:ascii="Times" w:eastAsia="Times New Roman" w:hAnsi="Times" w:cs="Arial"/>
          <w:bCs/>
          <w:sz w:val="24"/>
          <w:szCs w:val="20"/>
          <w:lang w:eastAsia="pl-PL"/>
        </w:rPr>
        <w:tab/>
        <w:t>posiadających zezwolenie, o którym mowa w art. 4 ust. 3b rozporządzenia nr (WE) 216/2008;</w:t>
      </w:r>
    </w:p>
    <w:p w:rsidR="00CA100B" w:rsidRPr="00CA100B" w:rsidRDefault="00CA100B" w:rsidP="00CA100B">
      <w:pPr>
        <w:suppressAutoHyphens/>
        <w:autoSpaceDN w:val="0"/>
        <w:spacing w:after="0"/>
        <w:ind w:left="510" w:hanging="510"/>
        <w:textAlignment w:val="baseline"/>
        <w:rPr>
          <w:rFonts w:ascii="Times" w:eastAsia="Times New Roman" w:hAnsi="Times" w:cs="Arial"/>
          <w:bCs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Cs/>
          <w:sz w:val="24"/>
          <w:szCs w:val="20"/>
          <w:lang w:eastAsia="pl-PL"/>
        </w:rPr>
        <w:t>2)</w:t>
      </w:r>
      <w:r w:rsidRPr="00CA100B">
        <w:rPr>
          <w:rFonts w:ascii="Times" w:eastAsia="Times New Roman" w:hAnsi="Times" w:cs="Arial"/>
          <w:bCs/>
          <w:sz w:val="24"/>
          <w:szCs w:val="20"/>
          <w:lang w:eastAsia="pl-PL"/>
        </w:rPr>
        <w:tab/>
        <w:t xml:space="preserve">podlegających certyfikacji zgodnie z wymaganiami określonymi w rozporządzeniu Komisji (UE) nr 139/2014 z dnia 12 lutego 2014 r. ustanawiającym wymagania oraz procedury administracyjne dotyczące lotnisk zgodnie z rozporządzeniem Parlamentu Europejskiego i Rady (WE) nr 216/2008 (Dz. Urz. UE L 44 z 14.02.2014, str. 1, z </w:t>
      </w:r>
      <w:proofErr w:type="spellStart"/>
      <w:r w:rsidRPr="00CA100B">
        <w:rPr>
          <w:rFonts w:ascii="Times" w:eastAsia="Times New Roman" w:hAnsi="Times" w:cs="Arial"/>
          <w:bCs/>
          <w:sz w:val="24"/>
          <w:szCs w:val="20"/>
          <w:lang w:eastAsia="pl-PL"/>
        </w:rPr>
        <w:t>późn</w:t>
      </w:r>
      <w:proofErr w:type="spellEnd"/>
      <w:r w:rsidRPr="00CA100B">
        <w:rPr>
          <w:rFonts w:ascii="Times" w:eastAsia="Times New Roman" w:hAnsi="Times" w:cs="Arial"/>
          <w:bCs/>
          <w:sz w:val="24"/>
          <w:szCs w:val="20"/>
          <w:lang w:eastAsia="pl-PL"/>
        </w:rPr>
        <w:t>. zm.</w:t>
      </w:r>
      <w:r w:rsidRPr="00CA100B">
        <w:rPr>
          <w:rFonts w:ascii="Times" w:eastAsia="Times New Roman" w:hAnsi="Times" w:cs="Times New Roman"/>
          <w:bCs/>
          <w:sz w:val="24"/>
          <w:szCs w:val="20"/>
          <w:vertAlign w:val="superscript"/>
          <w:lang w:eastAsia="pl-PL"/>
        </w:rPr>
        <w:footnoteReference w:id="4"/>
      </w:r>
      <w:r w:rsidRPr="00CA100B">
        <w:rPr>
          <w:rFonts w:ascii="Times" w:eastAsia="Times New Roman" w:hAnsi="Times" w:cs="Arial"/>
          <w:bCs/>
          <w:sz w:val="24"/>
          <w:szCs w:val="20"/>
          <w:vertAlign w:val="superscript"/>
          <w:lang w:eastAsia="pl-PL"/>
        </w:rPr>
        <w:t>)</w:t>
      </w:r>
      <w:r w:rsidRPr="00CA100B">
        <w:rPr>
          <w:rFonts w:ascii="Times" w:eastAsia="Times New Roman" w:hAnsi="Times" w:cs="Arial"/>
          <w:bCs/>
          <w:sz w:val="24"/>
          <w:szCs w:val="20"/>
          <w:lang w:eastAsia="pl-PL"/>
        </w:rPr>
        <w:t>), w zakresie wymagań, o których mowa w § 13.</w:t>
      </w:r>
    </w:p>
    <w:p w:rsidR="00CA100B" w:rsidRPr="00CA100B" w:rsidRDefault="00CA100B" w:rsidP="00CA100B">
      <w:pPr>
        <w:keepNext/>
        <w:suppressAutoHyphens/>
        <w:spacing w:before="120" w:after="0"/>
        <w:jc w:val="center"/>
        <w:outlineLvl w:val="0"/>
        <w:rPr>
          <w:rFonts w:ascii="Times" w:eastAsia="Times New Roman" w:hAnsi="Times" w:cs="Arial"/>
          <w:b/>
          <w:color w:val="000000"/>
          <w:kern w:val="24"/>
          <w:sz w:val="24"/>
          <w:szCs w:val="24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kern w:val="24"/>
          <w:sz w:val="24"/>
          <w:szCs w:val="24"/>
          <w:lang w:eastAsia="pl-PL"/>
        </w:rPr>
        <w:t>Rozdział 2</w:t>
      </w:r>
    </w:p>
    <w:p w:rsidR="00CA100B" w:rsidRPr="00CA100B" w:rsidRDefault="00CA100B" w:rsidP="00CA100B">
      <w:pPr>
        <w:keepNext/>
        <w:suppressAutoHyphens/>
        <w:spacing w:before="120" w:after="0"/>
        <w:jc w:val="center"/>
        <w:rPr>
          <w:rFonts w:ascii="Times" w:eastAsia="Times New Roman" w:hAnsi="Times" w:cs="Times New Roman"/>
          <w:b/>
          <w:color w:val="000000"/>
          <w:sz w:val="24"/>
          <w:szCs w:val="24"/>
          <w:lang w:eastAsia="pl-PL"/>
        </w:rPr>
      </w:pPr>
      <w:r w:rsidRPr="00CA100B">
        <w:rPr>
          <w:rFonts w:ascii="Times" w:eastAsia="Times New Roman" w:hAnsi="Times" w:cs="Times New Roman"/>
          <w:b/>
          <w:color w:val="000000"/>
          <w:sz w:val="24"/>
          <w:szCs w:val="24"/>
          <w:lang w:eastAsia="pl-PL"/>
        </w:rPr>
        <w:t>Lotniska dla samolotów</w:t>
      </w:r>
    </w:p>
    <w:p w:rsidR="00CA100B" w:rsidRPr="00CA100B" w:rsidRDefault="00CA100B" w:rsidP="00CA100B">
      <w:pPr>
        <w:keepNext/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t>§ 4.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  Wymagania techniczne i eksploatacyjne dla lotnisk dla samolotów, z zastrzeżeniem § 5–14, określają normy i zalecane metody postępowania Załącznika 14 tom I, zawarte w: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1)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rozdziale 1 „Wymagania ogólne”, z wyłączeniem pkt 1.2.1, 1.2.2 i 1.4;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2)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 xml:space="preserve">rozdziale 2 „Dane dotyczące lotniska”, </w:t>
      </w:r>
      <w:r w:rsidRPr="00CA100B">
        <w:rPr>
          <w:rFonts w:ascii="Times" w:eastAsia="Times New Roman" w:hAnsi="Times" w:cs="Arial"/>
          <w:sz w:val="24"/>
          <w:szCs w:val="20"/>
          <w:lang w:eastAsia="pl-PL"/>
        </w:rPr>
        <w:t>z wyłączeniem pkt 2.5.1 lit. b w zakresie systemu zatrzymywania samolotów oraz pkt 2.9.4 i 2.9.10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3)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rozdziale 3 „Charakterystyki fizyczne”, z wyłączeniem pkt 3.5.3 i 3.5.4 w zakresie systemu zatrzymywania samolotów;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lastRenderedPageBreak/>
        <w:t>4)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 xml:space="preserve">rozdziale 5 „Pomoce wzrokowe dla nawigacji”, z wyłączeniem pkt </w:t>
      </w:r>
      <w:r w:rsidRPr="00CA100B">
        <w:rPr>
          <w:rFonts w:ascii="Times" w:eastAsia="Times New Roman" w:hAnsi="Times" w:cs="Arial"/>
          <w:sz w:val="24"/>
          <w:szCs w:val="20"/>
          <w:lang w:eastAsia="pl-PL"/>
        </w:rPr>
        <w:t>5.1.4,</w:t>
      </w:r>
      <w:r w:rsidRPr="00CA100B">
        <w:rPr>
          <w:rFonts w:ascii="Times" w:eastAsia="Times New Roman" w:hAnsi="Times" w:cs="Arial"/>
          <w:color w:val="FF0000"/>
          <w:sz w:val="24"/>
          <w:szCs w:val="20"/>
          <w:lang w:eastAsia="pl-PL"/>
        </w:rPr>
        <w:t xml:space="preserve"> 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 xml:space="preserve">5.2.2.2, 5.2.4.3, 5.3.1.2, 5.3.5.2 lit. a, </w:t>
      </w:r>
      <w:r w:rsidRPr="00CA100B">
        <w:rPr>
          <w:rFonts w:ascii="Times" w:eastAsia="Times New Roman" w:hAnsi="Times" w:cs="Arial"/>
          <w:sz w:val="24"/>
          <w:szCs w:val="20"/>
          <w:lang w:eastAsia="pl-PL"/>
        </w:rPr>
        <w:t>5.3.3,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 xml:space="preserve"> 5.3.7, 5.3.12.2, 5.3.12.4, </w:t>
      </w:r>
      <w:r w:rsidRPr="00CA100B">
        <w:rPr>
          <w:rFonts w:ascii="Times" w:eastAsia="Times New Roman" w:hAnsi="Times" w:cs="Arial"/>
          <w:sz w:val="24"/>
          <w:szCs w:val="20"/>
          <w:lang w:eastAsia="pl-PL"/>
        </w:rPr>
        <w:t xml:space="preserve">5.3.17.2, 5.3.30, 5.4.5, 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5.5.2 i 5.5.6;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5)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rozdziale 7 „Pomoce wzrokowe do oznakowania stref o ograniczonym użytkowaniu”;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6)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rozdziale 8 „Systemy elektryczne”</w:t>
      </w:r>
      <w:r w:rsidRPr="00CA100B">
        <w:rPr>
          <w:rFonts w:ascii="Times" w:eastAsia="Times New Roman" w:hAnsi="Times" w:cs="Arial"/>
          <w:sz w:val="24"/>
          <w:szCs w:val="20"/>
          <w:lang w:eastAsia="pl-PL"/>
        </w:rPr>
        <w:t>, z wyłączeniem pkt 8.3.1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7)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 xml:space="preserve">rozdziale 9 „Lotniskowe służby operacyjne, wyposażenie i instalacje”, z wyłączeniem pkt </w:t>
      </w:r>
      <w:r w:rsidRPr="00CA100B">
        <w:rPr>
          <w:rFonts w:ascii="Times" w:eastAsia="Times New Roman" w:hAnsi="Times" w:cs="Arial"/>
          <w:sz w:val="24"/>
          <w:szCs w:val="20"/>
          <w:lang w:eastAsia="pl-PL"/>
        </w:rPr>
        <w:t>9.1–9.7, 9.8.7 i 9.8.8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8)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rozdziale 10 „Obsługa techniczna lotniska”, z wyłączeniem pkt 10.5.13;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9)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dodatku 1 „Kolory naziemnych świateł lotniczych, oznakowania poziomego, znaków pionowych i tablic”;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10)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dodatku 2 „Charakterystyki naziemnych świateł lotniczych”;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11)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dodatku 3 „Oznakowanie poziome nakazu i informacyjne ”;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12)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dodatku 4 „Wymagania dotyczące projektowania znaków pionowych dla dróg kołowania”;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13)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dodatku 5 „Wymagania dotyczące jakości danych lotniczych”.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t>§ 5. 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1.Wymagania eksploatacyjne w zakresie danych kartograficznych lotniska, o których mowa w rozdziale 2 „Dane dotyczące lotniska” pkt 2.1.2  Załącznika 14 tom I, są udostępniane służbom informacji lotniczej przez zarządzającego lotniskiem celem opublikowania ich w Zintegrowanym Pakiecie Informacji Lotniczych, o którym mowa w art. 121 ust. 3 ustawy.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2. Spójność danych, o których mowa w art. 66 ust. 1 ustawy, w trakcie procesu ich przetwarzania, od pomiaru lub powstania danych do wysłania ich do następnego użytkownika, jest chroniona w oparciu o klasyfikację spójności oraz procedury walidacji i weryfikacji, o których mowa w rozdziale 2 „Dane dotyczące lotniska” pkt 2.1.5 Załącznika 14 tom I.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3. Zmiany informacji lotniczych w systemie regulacji i kontroli informacji lotniczych (</w:t>
      </w:r>
      <w:proofErr w:type="spellStart"/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Aeronautical</w:t>
      </w:r>
      <w:proofErr w:type="spellEnd"/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 xml:space="preserve"> Information </w:t>
      </w:r>
      <w:proofErr w:type="spellStart"/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Regulation</w:t>
      </w:r>
      <w:proofErr w:type="spellEnd"/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 xml:space="preserve"> and Control – AIRAC), o których mowa rozdziale 2 „Dane dotyczące lotniska” pkt 2.13.3 Załącznika 14 tom I, są wprowadzane w terminach określonych w przepisach wydanych na podstawie art. 132 pkt 1–4 ustawy.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t>§ 6.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 xml:space="preserve"> 1. Dopuszcza się wykonywanie operacji lotniczych na lotnisku przez statki powietrzne, których liczba klasyfikacyjna statku powietrznego – ACN (Aircraft </w:t>
      </w:r>
      <w:proofErr w:type="spellStart"/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classification</w:t>
      </w:r>
      <w:proofErr w:type="spellEnd"/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 xml:space="preserve"> </w:t>
      </w:r>
      <w:proofErr w:type="spellStart"/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number</w:t>
      </w:r>
      <w:proofErr w:type="spellEnd"/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) jest większa od liczby klasyfikacyjnej nawierzchni – PCN (</w:t>
      </w:r>
      <w:proofErr w:type="spellStart"/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Pavement</w:t>
      </w:r>
      <w:proofErr w:type="spellEnd"/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 xml:space="preserve"> </w:t>
      </w:r>
      <w:proofErr w:type="spellStart"/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classification</w:t>
      </w:r>
      <w:proofErr w:type="spellEnd"/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 xml:space="preserve"> </w:t>
      </w:r>
      <w:proofErr w:type="spellStart"/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number</w:t>
      </w:r>
      <w:proofErr w:type="spellEnd"/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 xml:space="preserve">) ustalonej dla danej drogi startowej, pod warunkiem, że w instrukcji operacyjnej 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lastRenderedPageBreak/>
        <w:t xml:space="preserve">lotniska zostaną </w:t>
      </w:r>
      <w:r w:rsidRPr="00CA100B">
        <w:rPr>
          <w:rFonts w:ascii="Times" w:eastAsia="Times New Roman" w:hAnsi="Times" w:cs="Arial"/>
          <w:sz w:val="24"/>
          <w:szCs w:val="20"/>
          <w:lang w:eastAsia="pl-PL"/>
        </w:rPr>
        <w:t>określone metody</w:t>
      </w:r>
      <w:r w:rsidRPr="00CA100B">
        <w:rPr>
          <w:rFonts w:ascii="Times" w:eastAsia="Times New Roman" w:hAnsi="Times" w:cs="Arial"/>
          <w:color w:val="FF0000"/>
          <w:sz w:val="24"/>
          <w:szCs w:val="20"/>
          <w:lang w:eastAsia="pl-PL"/>
        </w:rPr>
        <w:t xml:space="preserve"> 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i kryteria, o których mowa w rozdziale 2 „Dane dotyczące lotniska” pkt 2.6.7 Załącznika 14 tom I, pozwalające na kontrolę użytkowania nawierzchni dla danego typu operacji.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2. </w:t>
      </w:r>
      <w:r w:rsidRPr="00CA100B">
        <w:rPr>
          <w:rFonts w:ascii="Times" w:eastAsia="Times New Roman" w:hAnsi="Times" w:cs="Arial"/>
          <w:sz w:val="24"/>
          <w:szCs w:val="20"/>
          <w:lang w:eastAsia="pl-PL"/>
        </w:rPr>
        <w:t>Metody i kryteria, o których mowa w ust. 1, powinny być opracowane zgodnie z wymaganiami Sekcji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 xml:space="preserve"> 20 załącznika A do Załącznika 14 tom I.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3. Zarządzający lotniskiem dokumentuje wszelkie wyniki badań i pomiarów nośności nawierzchni sztucznych pola ruchu naziemnego, wykonywanych prac remontowych i konserwacyjnych oraz okresowych kontroli stanu nawierzchni.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t>§ 7.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 </w:t>
      </w:r>
      <w:r w:rsidRPr="00CA100B">
        <w:rPr>
          <w:rFonts w:ascii="Times" w:eastAsia="Times New Roman" w:hAnsi="Times" w:cs="Arial"/>
          <w:sz w:val="24"/>
          <w:szCs w:val="20"/>
          <w:lang w:eastAsia="pl-PL"/>
        </w:rPr>
        <w:t>Minimalny w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spółczynnik tarcia, o którym mowa w rozdziale 2 „Dane dotyczące lotniska” pkt 2.9.7, w rozdziale 3 „Charakterystyki fizyczne” pkt 3.1.23 i w rozdziale 10 „Obsługa techniczna lotniska” pkt 10.2.3 i 10.2.5 Załącznika 14 tom I, określa się zgodnie z tabelą zawartą w załączniku do rozporządzenia.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t>§ 8.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 1. Wymagania określone w rozdziale 5 „Pomoce wzrokowe dla nawigacji” pkt 5.1.4, 5.3.3 i 5.4.5 Załącznika 14 tom I stosuje się do lotnisk, na których nie jest zapewniana służba ruchu lotniczego.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 xml:space="preserve">2. Wiązka światła, o której mowa w rozdziale 5 „Pomoce wzrokowe dla nawigacji” pkt 5.3.3.7 i 5.3.3.11 Załącznika 14 tom I, w płaszczyźnie pionowej powinna zawierać się od kąta wzniesienia nie większego niż 1°, do kąta wzniesienia wystarczającego </w:t>
      </w:r>
      <w:r w:rsidRPr="00CA100B">
        <w:rPr>
          <w:rFonts w:ascii="Times" w:eastAsia="Times New Roman" w:hAnsi="Times" w:cs="Arial"/>
          <w:sz w:val="24"/>
          <w:szCs w:val="20"/>
          <w:lang w:eastAsia="pl-PL"/>
        </w:rPr>
        <w:t>do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 xml:space="preserve"> prowadzenia statku powietrznego na maksymalnej wysokości, dla jakiej przewidziana jest dana latarnia.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t>§ 9.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 Wymagania określone w rozdziale 5 „Pomoce wzrokowe dla nawigacji” pkt 5.3.17.2 Załącznika 14 tom I dotyczące świateł linii środkowej drogi kołowania mają zastosowanie do lotnisk, na których są wykonywane operacje lotnicze przy widzialności wzdłuż drogi startowej poniżej 550 m.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t xml:space="preserve">§ 10. 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Wymagania określone w rozdziale 5 „Pomoce wzrokowe dla nawigacji” pkt 5.3.30 Załącznika 14 tom I stosuje się do lotnisk, które posiadają lub instalują światła stanu drogi startowej (RWSL).</w:t>
      </w:r>
    </w:p>
    <w:p w:rsidR="00CA100B" w:rsidRPr="00CA100B" w:rsidRDefault="00CA100B" w:rsidP="00CA100B">
      <w:pPr>
        <w:keepNext/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t>§ 11.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 Wszystkie światła przeszkodowe na lotnisku, o których mowa w rozdziale 8 „Systemy elektryczne” pkt 8.1.10 lit. b Załącznika 14 tom I, zlokalizowane: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1)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w pasie drogi startowej, w strefie bezpieczeństwa drogi startowej RESA, w obszarze zabezpieczeni</w:t>
      </w:r>
      <w:r w:rsidRPr="00CA100B">
        <w:rPr>
          <w:rFonts w:ascii="Times" w:eastAsia="Times New Roman" w:hAnsi="Times" w:cs="Arial"/>
          <w:sz w:val="24"/>
          <w:szCs w:val="20"/>
          <w:lang w:eastAsia="pl-PL"/>
        </w:rPr>
        <w:t>a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 xml:space="preserve"> wydłużonego startu,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lastRenderedPageBreak/>
        <w:t>2)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na przeszkodach lotniczych w zasięgu powierzchni: podejścia, wewnętrznej podejścia, przejściowej wewnętrznej, powierzchni nieudanego lądowania oraz powierzchni wznoszenia</w:t>
      </w:r>
    </w:p>
    <w:p w:rsidR="00CA100B" w:rsidRPr="00CA100B" w:rsidRDefault="00CA100B" w:rsidP="00CA100B">
      <w:pPr>
        <w:spacing w:after="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– powinny mieć zapewnione rezerwowe źródło zasilania.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t>§ 12.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 1. Wymagania określone w rozdziale 8 „Systemy elektryczne” pkt 8.3.1 Załącznika 14 tom I dotyczące systemu monitorowania sprawności systemów świetlnych mają zastosowanie do lotnisk, na których są wykonywane operacje lotnicze przy widzialności wzdłuż drogi startowej poniżej 550 m.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2. Minimalne poziomy niezawodności systemów świetlnych, o których mowa w rozdziale 8 „Systemy elektryczne” pkt 8.3.5 Załącznika 14 tom I, dla poszczególnych elementów tych systemów są określone w rozdziale 10 „Obsługa techniczna lotniska” pkt 10.5.7–10.5.11 Załącznika 14 tom I.</w:t>
      </w:r>
    </w:p>
    <w:p w:rsidR="00CA100B" w:rsidRPr="00CA100B" w:rsidRDefault="00CA100B" w:rsidP="00CA100B">
      <w:pPr>
        <w:keepNext/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t>§ 13.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 1. Ogrodzenie lotniska, o którym mowa w rozdziale 9 „Lotniskowe służby operacyjne, wyposażenie i instalacje” pkt 9.10 Załącznika 14 tom I, powinno spełniać następujące wymagania techniczne: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1)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być wykonane z metalowych paneli drucianych, paneli siatkowych lub rozciągniętej metalowej siatki drucianej, o grubości drutu nie mniejszej niż 2,5 mm, którego minimalna wysokość powinna być nie mniejsza niż 1,8 m, nie wliczając w to umieszczonej nad nim zwyżki wykonanej z minimum trzech rzędów drutu kolczastego lub drutu ostrzowego, zamocowanego na stelażach w kształcie litery „V”, lub uformowanego w walec wykonany z minimum jednego drutu kolczastego lub drutu ostrzowego; elementy ogrodzenia mogą być również wykonane z tworzywa, którego odporność na przecinanie, zginanie, rozrywanie i łamanie jest co najmniej taka sama jak ich metalowych odpowiedników;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2)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całkowita wysokość ogrodzenia liczona od powierzchni gruntu powinna wynosić w każdym jego punkcie minimum 2,44 m, włącznie ze zwyżkami z drutu kolczastego lub drutu ostrzowego;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3)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odległość pomiędzy górną krawędzią metalowego panelu drucianego, panelu siatkowego lub rozciągniętej metalowej siatki drucianej oraz dolną krawędzią zwyżki z drutu kolczastego lub drutu ostrzowego powinna wynosić maksymalnie 200 mm;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4)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dolna krawędź metalowego panelu drucianego, panelu siatkowego lub rozciągniętej metalowej siatki drucianej powinna być trwale zamocowana w podłożu, poprzez jej zabetonowanie lub inne trwałe osadzenie w gruncie, lub osadzona w podmurówce;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lastRenderedPageBreak/>
        <w:t>5)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całkowita wysokość i konstrukcja bram wjazdowych i furt osobowych powinna spełniać wymagania określone w pkt 1–3, z uwzględnieniem zapewnienia ich funkcjonalności;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6)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przebieg ogrodzenia, w celu zapewnienia jego optymalnego monitorowania i maksymalnego ograniczenia obszarów niemożliwych do obserwowania podczas patrolowania ogrodzenia, powinien być wytyczony w miarę możliwości po liniach prostych;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7)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wokół ogrodzenia, w celu zapewnienia możliwości jego skutecznego obserwowania i patrolowania, powinna być zapewniona całkowicie wolna przestrzeń o szerokości minimum 3 m po jego obu stronach;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8)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wokół ogrodzenia powinny być umieszczone w odstępach nie większych niż 100 m prostokątne tablice informacyjne, o wymiarach 300 na 600 mm, koloru białego z czerwoną obwolutą, wykonane z tworzywa sztucznego lub aluminium, zawierające napis o treści: „TEREN LOTNISKA – WSTĘP SUROWO WZBRONIONY!”; grubość liter, wysokość i odstępy pomiędzy wierszami powinny wynosić odpowiednio: 8 mm, 60 mm i 40 mm; nie naruszając powyższych postanowień dopuszcza się zamieszczenie na tych tablicach angielskiego tłumaczenia wyżej wymienionego tekstu, o treści: „AERODROME AREA – ACCESS STRICTLY FORBIDDEN”, z możliwością odpowiedniego powiększenia wielkości tablicy informacyjnej;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9)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wokół ogrodzenia, po jego wewnętrznej stronie, powinna być poprowadzona droga patrolowa, pozwalająca na systematyczne dokonywanie jego oglądu z pojazdu samochodowego.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2. W przypadku, gdy ukształtowanie terenu lub obiekty budowlane nie pozwalają na zastosowanie ogrodzenia odpowiadającego wymaganiom określonym w ust. 1, zarządzający lotniskiem w programie ochrony lotniska określa sposób zabezpieczenia lotniska.</w:t>
      </w:r>
    </w:p>
    <w:p w:rsidR="00CA100B" w:rsidRPr="00CA100B" w:rsidRDefault="00CA100B" w:rsidP="00CA100B">
      <w:pPr>
        <w:keepNext/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t xml:space="preserve">§ 14. 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Wymagania określone w rozdziale 9 „Lotniskowe służby operacyjne, wyposażenie i instalacje” pkt 9.12 Załącznika 14 tom I stosuje się do lotnisk, które posiadają lub instalują autonomiczny system ostrzegania o wtargnięciu na drogę startową (ARIWS).</w:t>
      </w:r>
    </w:p>
    <w:p w:rsidR="00CA100B" w:rsidRPr="00CA100B" w:rsidRDefault="00CA100B" w:rsidP="00CA100B">
      <w:pPr>
        <w:keepNext/>
        <w:suppressAutoHyphens/>
        <w:spacing w:before="120" w:after="0"/>
        <w:jc w:val="center"/>
        <w:outlineLvl w:val="0"/>
        <w:rPr>
          <w:rFonts w:ascii="Times" w:eastAsia="Times New Roman" w:hAnsi="Times" w:cs="Arial"/>
          <w:b/>
          <w:color w:val="000000"/>
          <w:kern w:val="24"/>
          <w:sz w:val="24"/>
          <w:szCs w:val="24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kern w:val="24"/>
          <w:sz w:val="24"/>
          <w:szCs w:val="24"/>
          <w:lang w:eastAsia="pl-PL"/>
        </w:rPr>
        <w:t>Rozdział 3</w:t>
      </w:r>
    </w:p>
    <w:p w:rsidR="00CA100B" w:rsidRPr="00CA100B" w:rsidRDefault="00CA100B" w:rsidP="00CA100B">
      <w:pPr>
        <w:keepNext/>
        <w:suppressAutoHyphens/>
        <w:spacing w:before="120" w:after="0"/>
        <w:jc w:val="center"/>
        <w:rPr>
          <w:rFonts w:ascii="Times" w:eastAsia="Times New Roman" w:hAnsi="Times" w:cs="Times New Roman"/>
          <w:b/>
          <w:color w:val="000000"/>
          <w:sz w:val="24"/>
          <w:szCs w:val="24"/>
          <w:lang w:eastAsia="pl-PL"/>
        </w:rPr>
      </w:pPr>
      <w:r w:rsidRPr="00CA100B">
        <w:rPr>
          <w:rFonts w:ascii="Times" w:eastAsia="Times New Roman" w:hAnsi="Times" w:cs="Times New Roman"/>
          <w:b/>
          <w:color w:val="000000"/>
          <w:sz w:val="24"/>
          <w:szCs w:val="24"/>
          <w:lang w:eastAsia="pl-PL"/>
        </w:rPr>
        <w:t>Lotniska dla śmigłowców</w:t>
      </w:r>
    </w:p>
    <w:p w:rsidR="00CA100B" w:rsidRPr="00CA100B" w:rsidRDefault="00CA100B" w:rsidP="00CA100B">
      <w:pPr>
        <w:keepNext/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t>§ 15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. Wymagania techniczne i eksploatacyjne dla lotnisk dla śmigłowców określają normy i zalecane metody postępowania określone w Załączniku 14 tom II w: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1)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rozdziale 1 „Wymagania ogólne”, z wyłączeniem pkt 1.2.1;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2)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rozdziale 2 „Dane lotniska dla śmigłowców”, z wyłączeniem pkt  2.1.2;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lastRenderedPageBreak/>
        <w:t>3)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rozdziale 3 „Charakterystyki fizyczne”;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4)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rozdziale 5 „Pomoce wzrokowe”, z wyłączeniem pkt 5.3.12 i 5.3.13;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5)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dodatku 1 „Wymagania dotyczące jakości danych lotniczych”;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6)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dodatku 2 „Międzynarodowe normy i zalecane metody postępowania dla przyrządowych lotnisk dla śmigłowców z podejściem nieprecyzyjnym i/lub precyzyjnym oraz odlotami według wskazań przyrządów”, z wyłączeniem pkt 4.</w:t>
      </w:r>
    </w:p>
    <w:p w:rsidR="00CA100B" w:rsidRPr="00CA100B" w:rsidRDefault="00CA100B" w:rsidP="00CA100B">
      <w:pPr>
        <w:keepNext/>
        <w:suppressAutoHyphens/>
        <w:spacing w:before="120" w:after="0"/>
        <w:jc w:val="center"/>
        <w:outlineLvl w:val="0"/>
        <w:rPr>
          <w:rFonts w:ascii="Times" w:eastAsia="Times New Roman" w:hAnsi="Times" w:cs="Arial"/>
          <w:b/>
          <w:color w:val="000000"/>
          <w:kern w:val="24"/>
          <w:sz w:val="24"/>
          <w:szCs w:val="24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kern w:val="24"/>
          <w:sz w:val="24"/>
          <w:szCs w:val="24"/>
          <w:lang w:eastAsia="pl-PL"/>
        </w:rPr>
        <w:t>Rozdział 4</w:t>
      </w:r>
    </w:p>
    <w:p w:rsidR="00CA100B" w:rsidRPr="00CA100B" w:rsidRDefault="00CA100B" w:rsidP="00CA100B">
      <w:pPr>
        <w:keepNext/>
        <w:suppressAutoHyphens/>
        <w:spacing w:before="120" w:after="0"/>
        <w:jc w:val="center"/>
        <w:rPr>
          <w:rFonts w:ascii="Times" w:eastAsia="Times New Roman" w:hAnsi="Times" w:cs="Times New Roman"/>
          <w:b/>
          <w:color w:val="000000"/>
          <w:sz w:val="24"/>
          <w:szCs w:val="24"/>
          <w:lang w:eastAsia="pl-PL"/>
        </w:rPr>
      </w:pPr>
      <w:r w:rsidRPr="00CA100B">
        <w:rPr>
          <w:rFonts w:ascii="Times" w:eastAsia="Times New Roman" w:hAnsi="Times" w:cs="Times New Roman"/>
          <w:b/>
          <w:color w:val="000000"/>
          <w:sz w:val="24"/>
          <w:szCs w:val="24"/>
          <w:lang w:eastAsia="pl-PL"/>
        </w:rPr>
        <w:t>Przepisy przejściowe i końcowe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t>§ 16.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 W sprawach postępowań o wydanie, wznowienie ważności certyfikatu dla lotniska użytku publicznego, o którym mowa w § 3 pkt 1, przedłużenie ważności certyfikatu albo zmianę tego certyfikatu stosuje się przepisy niniejszego rozporządzenia</w:t>
      </w:r>
      <w:r w:rsidRPr="00CA100B">
        <w:rPr>
          <w:rFonts w:ascii="Times" w:eastAsia="Times New Roman" w:hAnsi="Times" w:cs="Arial"/>
          <w:sz w:val="24"/>
          <w:szCs w:val="20"/>
          <w:lang w:eastAsia="pl-PL"/>
        </w:rPr>
        <w:t>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t>§ 17.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 1. Wymagania techniczne i eksploatacyjne zawarte w normach i zalecanych metodach postępowania Załącznika 14 tom I, w: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1)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rozdziale 1 „Wymagania ogólne” pkt 1.7,</w:t>
      </w:r>
    </w:p>
    <w:p w:rsidR="00CA100B" w:rsidRPr="00CA100B" w:rsidRDefault="00CA100B" w:rsidP="00CA100B">
      <w:pPr>
        <w:suppressAutoHyphens/>
        <w:autoSpaceDN w:val="0"/>
        <w:spacing w:after="0"/>
        <w:ind w:left="510" w:hanging="510"/>
        <w:textAlignment w:val="baseline"/>
        <w:rPr>
          <w:rFonts w:ascii="Times" w:eastAsia="Times New Roman" w:hAnsi="Times" w:cs="Arial"/>
          <w:bCs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Cs/>
          <w:color w:val="000000"/>
          <w:sz w:val="24"/>
          <w:szCs w:val="20"/>
          <w:lang w:eastAsia="pl-PL"/>
        </w:rPr>
        <w:t>2)</w:t>
      </w:r>
      <w:r w:rsidRPr="00CA100B">
        <w:rPr>
          <w:rFonts w:ascii="Times" w:eastAsia="Times New Roman" w:hAnsi="Times" w:cs="Arial"/>
          <w:bCs/>
          <w:color w:val="000000"/>
          <w:sz w:val="24"/>
          <w:szCs w:val="20"/>
          <w:lang w:eastAsia="pl-PL"/>
        </w:rPr>
        <w:tab/>
        <w:t>rozdziale 2 „Dane dotyczące lotniska” pkt 2.1.2 – 2.1.4 i 2.6.6 lit c,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3)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rozdziale 3 „Charakterystyki fizyczne” pkt 3.1.13−3.1.20, 3.2.4, 3.3, 3.4.13−3.4.16, 3.5.10, 3.5.11, 3.9.9−3.9.13, 3.11.5, 3.11.6, 3.13.5, 3.14.2 i 3.15.1,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4)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rozdziale 5 „Pomoce wzrokowe dla nawigacji” pkt 5.2.1.7, 5.2.8.9, 5.3.14, 5.3.17.8, 5.3.23.2 i 5.3.29,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5)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rozdziale 8 „Systemy elektryczne” pkt 8.1.8−8.1.10</w:t>
      </w:r>
      <w:r w:rsidRPr="00CA100B">
        <w:rPr>
          <w:rFonts w:ascii="Times" w:eastAsia="Times New Roman" w:hAnsi="Times" w:cs="Arial"/>
          <w:sz w:val="24"/>
          <w:szCs w:val="20"/>
          <w:lang w:eastAsia="pl-PL"/>
        </w:rPr>
        <w:t>,</w:t>
      </w:r>
    </w:p>
    <w:p w:rsidR="00CA100B" w:rsidRPr="00CA100B" w:rsidRDefault="00CA100B" w:rsidP="00CA100B">
      <w:pPr>
        <w:spacing w:after="0"/>
        <w:ind w:left="510" w:hanging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6)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ab/>
        <w:t>dodatku 2 „Charakterystyki naziemnych świateł lotniczych” pkt 2.3 i 2.4</w:t>
      </w:r>
    </w:p>
    <w:p w:rsidR="00CA100B" w:rsidRPr="00CA100B" w:rsidRDefault="00CA100B" w:rsidP="00CA100B">
      <w:pPr>
        <w:spacing w:after="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–      stosuje się od dnia 1 stycznia 2020 r.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2.  W przypadku lotnisk dla samolotów wyposażonych w ogrodzenie lotniska osadzone nad podmurówką, w którym całkowita wysokość prześwitu pomiędzy gruntem lub podmurówką i dolną krawędzią metalowego panelu drucianego, panelu siatkowego lub rozciągniętej metalowej siatki drucianej wynosi 20 cm, zarządzający tymi lotniskami dostosują te ogrodzenia do wymogu określonego w § 13 ust. 1 pkt 4 niniejszego rozporządzenia w terminie do dnia 1 stycznia 2019 r.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after="0"/>
        <w:ind w:firstLine="510"/>
        <w:rPr>
          <w:rFonts w:ascii="Times" w:eastAsia="Times New Roman" w:hAnsi="Times" w:cs="Arial"/>
          <w:bCs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t>§ 18</w:t>
      </w:r>
      <w:r w:rsidRPr="00CA100B">
        <w:rPr>
          <w:rFonts w:ascii="Times" w:eastAsia="Times New Roman" w:hAnsi="Times" w:cs="Arial"/>
          <w:b/>
          <w:bCs/>
          <w:color w:val="000000"/>
          <w:sz w:val="24"/>
          <w:szCs w:val="20"/>
          <w:lang w:eastAsia="pl-PL"/>
        </w:rPr>
        <w:t>. </w:t>
      </w:r>
      <w:r w:rsidRPr="00CA100B">
        <w:rPr>
          <w:rFonts w:ascii="Times" w:eastAsia="Times New Roman" w:hAnsi="Times" w:cs="Arial"/>
          <w:bCs/>
          <w:color w:val="000000"/>
          <w:sz w:val="24"/>
          <w:szCs w:val="20"/>
          <w:lang w:eastAsia="pl-PL"/>
        </w:rPr>
        <w:t>Zarządzający lotniskami, o których mowa w § 1, dostosują lotniska do wymagań określonych w niniejszym rozporządzeniu do dnia 31 grudnia 2019 r.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t>§ 19.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 xml:space="preserve"> Traci moc rozporządzenie Ministra Transportu, Budownictwa i Gospodarki Morskiej z dnia 28 sierpnia 2013 r. w sprawie wymagań technicznych i eksploatacyjnych dla lotnisk użytku publicznego podlegających obowiązkowi certyfikacji (Dz. U. poz. 1020).</w:t>
      </w:r>
    </w:p>
    <w:p w:rsidR="00CA100B" w:rsidRPr="00CA100B" w:rsidRDefault="00CA100B" w:rsidP="00CA100B">
      <w:pPr>
        <w:suppressAutoHyphens/>
        <w:autoSpaceDE w:val="0"/>
        <w:autoSpaceDN w:val="0"/>
        <w:adjustRightInd w:val="0"/>
        <w:spacing w:before="120" w:after="0"/>
        <w:ind w:firstLine="510"/>
        <w:rPr>
          <w:rFonts w:ascii="Times" w:eastAsia="Times New Roman" w:hAnsi="Times" w:cs="Arial"/>
          <w:color w:val="000000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sz w:val="24"/>
          <w:szCs w:val="20"/>
          <w:lang w:eastAsia="pl-PL"/>
        </w:rPr>
        <w:lastRenderedPageBreak/>
        <w:t>§ 20.</w:t>
      </w:r>
      <w:r w:rsidRPr="00CA100B">
        <w:rPr>
          <w:rFonts w:ascii="Times" w:eastAsia="Times New Roman" w:hAnsi="Times" w:cs="Arial"/>
          <w:color w:val="000000"/>
          <w:sz w:val="24"/>
          <w:szCs w:val="20"/>
          <w:lang w:eastAsia="pl-PL"/>
        </w:rPr>
        <w:t> Rozporządzenie wchodzi w życie po upływie 90 dni od dnia ogłoszenia.</w:t>
      </w:r>
    </w:p>
    <w:p w:rsidR="00CA100B" w:rsidRPr="00CA100B" w:rsidRDefault="00CA100B" w:rsidP="00CA100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" w:eastAsia="Times New Roman" w:hAnsi="A" w:cs="Times New Roman"/>
          <w:color w:val="000000"/>
          <w:sz w:val="20"/>
          <w:szCs w:val="20"/>
          <w:lang w:eastAsia="pl-PL"/>
        </w:rPr>
      </w:pPr>
    </w:p>
    <w:p w:rsidR="00CA100B" w:rsidRPr="00CA100B" w:rsidRDefault="00CA100B" w:rsidP="00CA100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" w:eastAsia="Times New Roman" w:hAnsi="A" w:cs="Times New Roman"/>
          <w:color w:val="000000"/>
          <w:sz w:val="20"/>
          <w:szCs w:val="20"/>
          <w:lang w:eastAsia="pl-PL"/>
        </w:rPr>
      </w:pPr>
    </w:p>
    <w:p w:rsidR="00CA100B" w:rsidRPr="00CA100B" w:rsidRDefault="00CA100B" w:rsidP="00CA100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" w:eastAsia="Times New Roman" w:hAnsi="A" w:cs="Times New Roman"/>
          <w:color w:val="000000"/>
          <w:sz w:val="20"/>
          <w:szCs w:val="20"/>
          <w:lang w:eastAsia="pl-PL"/>
        </w:rPr>
      </w:pPr>
    </w:p>
    <w:p w:rsidR="00CA100B" w:rsidRPr="00CA100B" w:rsidRDefault="00CA100B" w:rsidP="00CA100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" w:eastAsia="Times New Roman" w:hAnsi="A" w:cs="Times New Roman"/>
          <w:color w:val="000000"/>
          <w:sz w:val="20"/>
          <w:szCs w:val="20"/>
          <w:lang w:eastAsia="pl-PL"/>
        </w:rPr>
      </w:pPr>
    </w:p>
    <w:p w:rsidR="00CA100B" w:rsidRPr="00CA100B" w:rsidRDefault="00CA100B" w:rsidP="00CA100B">
      <w:pPr>
        <w:keepNext/>
        <w:suppressAutoHyphens/>
        <w:spacing w:after="120"/>
        <w:ind w:left="4820"/>
        <w:jc w:val="center"/>
        <w:rPr>
          <w:rFonts w:ascii="A" w:eastAsia="Times New Roman" w:hAnsi="A" w:cs="Times New Roman"/>
          <w:color w:val="000000"/>
          <w:sz w:val="20"/>
          <w:szCs w:val="20"/>
          <w:lang w:eastAsia="pl-PL"/>
        </w:rPr>
      </w:pPr>
      <w:r w:rsidRPr="00CA100B">
        <w:rPr>
          <w:rFonts w:ascii="Times" w:eastAsia="Times New Roman" w:hAnsi="Times" w:cs="Times New Roman"/>
          <w:b/>
          <w:caps/>
          <w:color w:val="000000"/>
          <w:kern w:val="24"/>
          <w:sz w:val="24"/>
          <w:szCs w:val="24"/>
          <w:lang w:eastAsia="pl-PL"/>
        </w:rPr>
        <w:t>Minister Infrastruktury i Budownictwa</w:t>
      </w:r>
    </w:p>
    <w:p w:rsidR="00CA100B" w:rsidRPr="00CA100B" w:rsidRDefault="00CA100B" w:rsidP="00CA100B">
      <w:pPr>
        <w:spacing w:after="0"/>
        <w:jc w:val="left"/>
        <w:rPr>
          <w:rFonts w:ascii="A" w:eastAsia="Times New Roman" w:hAnsi="A" w:cs="Times New Roman"/>
          <w:color w:val="000000"/>
          <w:sz w:val="20"/>
          <w:szCs w:val="20"/>
          <w:lang w:eastAsia="pl-PL"/>
        </w:rPr>
      </w:pPr>
      <w:r w:rsidRPr="00CA100B">
        <w:rPr>
          <w:rFonts w:ascii="A" w:eastAsia="Times New Roman" w:hAnsi="A" w:cs="Times New Roman"/>
          <w:color w:val="000000"/>
          <w:sz w:val="20"/>
          <w:szCs w:val="20"/>
          <w:lang w:eastAsia="pl-PL"/>
        </w:rPr>
        <w:br w:type="page"/>
      </w:r>
    </w:p>
    <w:p w:rsidR="00CA100B" w:rsidRPr="00CA100B" w:rsidRDefault="00CA100B" w:rsidP="00CA100B">
      <w:pPr>
        <w:keepNext/>
        <w:tabs>
          <w:tab w:val="left" w:pos="5670"/>
        </w:tabs>
        <w:suppressAutoHyphens/>
        <w:spacing w:before="120" w:after="0"/>
        <w:jc w:val="right"/>
        <w:outlineLvl w:val="0"/>
        <w:rPr>
          <w:rFonts w:ascii="Times" w:eastAsia="Times New Roman" w:hAnsi="Times" w:cs="Arial"/>
          <w:b/>
          <w:kern w:val="24"/>
          <w:sz w:val="24"/>
          <w:szCs w:val="20"/>
          <w:lang w:eastAsia="pl-PL"/>
        </w:rPr>
      </w:pPr>
      <w:r w:rsidRPr="00CA100B">
        <w:rPr>
          <w:rFonts w:ascii="Times" w:eastAsia="Times New Roman" w:hAnsi="Times" w:cs="Arial"/>
          <w:b/>
          <w:color w:val="000000"/>
          <w:kern w:val="24"/>
          <w:sz w:val="24"/>
          <w:szCs w:val="24"/>
          <w:lang w:eastAsia="pl-PL"/>
        </w:rPr>
        <w:lastRenderedPageBreak/>
        <w:tab/>
      </w:r>
      <w:r w:rsidRPr="00CA100B">
        <w:rPr>
          <w:rFonts w:ascii="Times" w:eastAsia="Times New Roman" w:hAnsi="Times" w:cs="Arial"/>
          <w:kern w:val="24"/>
          <w:sz w:val="24"/>
          <w:szCs w:val="24"/>
          <w:lang w:eastAsia="pl-PL"/>
        </w:rPr>
        <w:t xml:space="preserve">Załącznik </w:t>
      </w:r>
      <w:r w:rsidRPr="00CA100B">
        <w:rPr>
          <w:rFonts w:ascii="Times" w:eastAsia="Times New Roman" w:hAnsi="Times" w:cs="Arial"/>
          <w:kern w:val="24"/>
          <w:sz w:val="24"/>
          <w:szCs w:val="20"/>
          <w:lang w:eastAsia="pl-PL"/>
        </w:rPr>
        <w:t xml:space="preserve">do rozporządzenia Ministra Infrastruktury i Budownictwa </w:t>
      </w:r>
    </w:p>
    <w:p w:rsidR="00CA100B" w:rsidRPr="00CA100B" w:rsidRDefault="00CA100B" w:rsidP="00CA100B">
      <w:pPr>
        <w:keepNext/>
        <w:spacing w:after="240" w:line="240" w:lineRule="auto"/>
        <w:contextualSpacing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CA100B">
        <w:rPr>
          <w:rFonts w:ascii="Times New Roman" w:eastAsia="Times New Roman" w:hAnsi="Times New Roman" w:cs="Arial"/>
          <w:sz w:val="24"/>
          <w:szCs w:val="20"/>
          <w:lang w:eastAsia="pl-PL"/>
        </w:rPr>
        <w:t>z dnia……………2017 r. (poz.………)</w:t>
      </w:r>
    </w:p>
    <w:p w:rsidR="00CA100B" w:rsidRPr="00CA100B" w:rsidRDefault="00CA100B" w:rsidP="00CA100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" w:eastAsia="Times New Roman" w:hAnsi="A" w:cs="Times New Roman"/>
          <w:color w:val="000000"/>
          <w:sz w:val="20"/>
          <w:szCs w:val="20"/>
          <w:lang w:eastAsia="pl-PL"/>
        </w:rPr>
      </w:pPr>
    </w:p>
    <w:p w:rsidR="00CA100B" w:rsidRPr="00CA100B" w:rsidRDefault="00CA100B" w:rsidP="00CA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" w:eastAsia="Times New Roman" w:hAnsi="A" w:cs="Times New Roman"/>
          <w:color w:val="000000"/>
          <w:sz w:val="20"/>
          <w:szCs w:val="20"/>
          <w:lang w:eastAsia="pl-PL"/>
        </w:rPr>
      </w:pPr>
      <w:r w:rsidRPr="00CA100B">
        <w:rPr>
          <w:rFonts w:ascii="A" w:eastAsia="Times New Roman" w:hAnsi="A" w:cs="Times New Roman"/>
          <w:sz w:val="20"/>
          <w:szCs w:val="20"/>
          <w:lang w:eastAsia="pl-PL"/>
        </w:rPr>
        <w:t>MINIMALNY</w:t>
      </w:r>
      <w:r w:rsidRPr="00CA100B">
        <w:rPr>
          <w:rFonts w:ascii="A" w:eastAsia="Times New Roman" w:hAnsi="A" w:cs="Times New Roman"/>
          <w:color w:val="000000"/>
          <w:sz w:val="20"/>
          <w:szCs w:val="20"/>
          <w:lang w:eastAsia="pl-PL"/>
        </w:rPr>
        <w:t xml:space="preserve"> WSP</w:t>
      </w:r>
      <w:r w:rsidRPr="00CA100B">
        <w:rPr>
          <w:rFonts w:ascii="A" w:eastAsia="Times New Roman" w:hAnsi="A" w:cs="Times New Roman" w:hint="eastAsia"/>
          <w:color w:val="000000"/>
          <w:sz w:val="20"/>
          <w:szCs w:val="20"/>
          <w:lang w:eastAsia="pl-PL"/>
        </w:rPr>
        <w:t>ÓŁ</w:t>
      </w:r>
      <w:r w:rsidRPr="00CA100B">
        <w:rPr>
          <w:rFonts w:ascii="A" w:eastAsia="Times New Roman" w:hAnsi="A" w:cs="Times New Roman"/>
          <w:color w:val="000000"/>
          <w:sz w:val="20"/>
          <w:szCs w:val="20"/>
          <w:lang w:eastAsia="pl-PL"/>
        </w:rPr>
        <w:t>CZYNNIK TARCIA DLA NOWYCH I ISTNIEJ</w:t>
      </w:r>
      <w:r w:rsidRPr="00CA100B">
        <w:rPr>
          <w:rFonts w:ascii="A" w:eastAsia="Times New Roman" w:hAnsi="A" w:cs="Times New Roman" w:hint="eastAsia"/>
          <w:color w:val="000000"/>
          <w:sz w:val="20"/>
          <w:szCs w:val="20"/>
          <w:lang w:eastAsia="pl-PL"/>
        </w:rPr>
        <w:t>Ą</w:t>
      </w:r>
      <w:r w:rsidRPr="00CA100B">
        <w:rPr>
          <w:rFonts w:ascii="A" w:eastAsia="Times New Roman" w:hAnsi="A" w:cs="Times New Roman"/>
          <w:color w:val="000000"/>
          <w:sz w:val="20"/>
          <w:szCs w:val="20"/>
          <w:lang w:eastAsia="pl-PL"/>
        </w:rPr>
        <w:t>CYCH NAWIERZCHNI DR</w:t>
      </w:r>
      <w:r w:rsidRPr="00CA100B">
        <w:rPr>
          <w:rFonts w:ascii="A" w:eastAsia="Times New Roman" w:hAnsi="A" w:cs="Times New Roman" w:hint="eastAsia"/>
          <w:color w:val="000000"/>
          <w:sz w:val="20"/>
          <w:szCs w:val="20"/>
          <w:lang w:eastAsia="pl-PL"/>
        </w:rPr>
        <w:t>Ó</w:t>
      </w:r>
      <w:r w:rsidRPr="00CA100B">
        <w:rPr>
          <w:rFonts w:ascii="A" w:eastAsia="Times New Roman" w:hAnsi="A" w:cs="Times New Roman"/>
          <w:color w:val="000000"/>
          <w:sz w:val="20"/>
          <w:szCs w:val="20"/>
          <w:lang w:eastAsia="pl-PL"/>
        </w:rPr>
        <w:t>G STARTOWYCH</w:t>
      </w:r>
    </w:p>
    <w:p w:rsidR="00CA100B" w:rsidRPr="00CA100B" w:rsidRDefault="00CA100B" w:rsidP="00CA100B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A" w:eastAsia="Times New Roman" w:hAnsi="A" w:cs="Times New Roman"/>
          <w:color w:val="000000"/>
          <w:sz w:val="20"/>
          <w:szCs w:val="20"/>
          <w:lang w:eastAsia="pl-PL"/>
        </w:rPr>
      </w:pPr>
    </w:p>
    <w:tbl>
      <w:tblPr>
        <w:tblW w:w="9717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4"/>
        <w:gridCol w:w="708"/>
        <w:gridCol w:w="993"/>
        <w:gridCol w:w="1134"/>
        <w:gridCol w:w="1154"/>
        <w:gridCol w:w="1134"/>
        <w:gridCol w:w="1276"/>
        <w:gridCol w:w="1134"/>
      </w:tblGrid>
      <w:tr w:rsidR="00CA100B" w:rsidRPr="00CA100B" w:rsidTr="000E387A">
        <w:tc>
          <w:tcPr>
            <w:tcW w:w="218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Urządzenie pomiarowe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Opona testowa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Prędkość pomiarowa</w:t>
            </w:r>
          </w:p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(km/h)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Głębokość pomiarowa wody</w:t>
            </w:r>
          </w:p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(mm)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Wartości projektowe</w:t>
            </w:r>
          </w:p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dla nowej nawierzchni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Poziom planowania działań naprawczych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Minimalny poziom tarcia</w:t>
            </w:r>
          </w:p>
        </w:tc>
      </w:tr>
      <w:tr w:rsidR="00CA100B" w:rsidRPr="00CA100B" w:rsidTr="000E387A">
        <w:tc>
          <w:tcPr>
            <w:tcW w:w="218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Ciśnienie</w:t>
            </w:r>
          </w:p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kPa</w:t>
            </w:r>
            <w:proofErr w:type="spellEnd"/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A100B" w:rsidRPr="00CA100B" w:rsidTr="000E387A">
        <w:tc>
          <w:tcPr>
            <w:tcW w:w="218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(1)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(2)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(3)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(4)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(5)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(6)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(7)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(8)</w:t>
            </w:r>
          </w:p>
        </w:tc>
      </w:tr>
      <w:tr w:rsidR="00CA100B" w:rsidRPr="00CA100B" w:rsidTr="000E387A">
        <w:tc>
          <w:tcPr>
            <w:tcW w:w="218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Przyczepa Mu-</w:t>
            </w:r>
            <w:proofErr w:type="spellStart"/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meter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0.72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0.52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0.42</w:t>
            </w:r>
          </w:p>
        </w:tc>
      </w:tr>
      <w:tr w:rsidR="00CA100B" w:rsidRPr="00CA100B" w:rsidTr="000E387A">
        <w:tc>
          <w:tcPr>
            <w:tcW w:w="218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5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0.66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0.38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0.26</w:t>
            </w:r>
          </w:p>
        </w:tc>
      </w:tr>
      <w:tr w:rsidR="00CA100B" w:rsidRPr="00CA100B" w:rsidTr="000E387A">
        <w:tc>
          <w:tcPr>
            <w:tcW w:w="218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Przyczepa </w:t>
            </w:r>
            <w:proofErr w:type="spellStart"/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Skiddometer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0.82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0.60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0.50</w:t>
            </w:r>
          </w:p>
        </w:tc>
      </w:tr>
      <w:tr w:rsidR="00CA100B" w:rsidRPr="00CA100B" w:rsidTr="000E387A">
        <w:tc>
          <w:tcPr>
            <w:tcW w:w="218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5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0.47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0.34</w:t>
            </w:r>
          </w:p>
        </w:tc>
      </w:tr>
      <w:tr w:rsidR="00CA100B" w:rsidRPr="00CA100B" w:rsidTr="000E387A">
        <w:tc>
          <w:tcPr>
            <w:tcW w:w="218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Surface </w:t>
            </w:r>
            <w:proofErr w:type="spellStart"/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Friction</w:t>
            </w:r>
            <w:proofErr w:type="spellEnd"/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 Tester </w:t>
            </w:r>
            <w:proofErr w:type="spellStart"/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Vehicle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0.82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0.60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0.50</w:t>
            </w:r>
          </w:p>
        </w:tc>
      </w:tr>
      <w:tr w:rsidR="00CA100B" w:rsidRPr="00CA100B" w:rsidTr="000E387A">
        <w:tc>
          <w:tcPr>
            <w:tcW w:w="218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5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0.47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0.34</w:t>
            </w:r>
          </w:p>
        </w:tc>
      </w:tr>
      <w:tr w:rsidR="00CA100B" w:rsidRPr="00CA100B" w:rsidTr="000E387A">
        <w:tc>
          <w:tcPr>
            <w:tcW w:w="218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Runway </w:t>
            </w:r>
            <w:proofErr w:type="spellStart"/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Friction</w:t>
            </w:r>
            <w:proofErr w:type="spellEnd"/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 Tester </w:t>
            </w:r>
            <w:proofErr w:type="spellStart"/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Vehicle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0.82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0.60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0.50</w:t>
            </w:r>
          </w:p>
        </w:tc>
      </w:tr>
      <w:tr w:rsidR="00CA100B" w:rsidRPr="00CA100B" w:rsidTr="000E387A">
        <w:tc>
          <w:tcPr>
            <w:tcW w:w="218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5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0.74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0.54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0.41</w:t>
            </w:r>
          </w:p>
        </w:tc>
      </w:tr>
      <w:tr w:rsidR="00CA100B" w:rsidRPr="00CA100B" w:rsidTr="000E387A">
        <w:tc>
          <w:tcPr>
            <w:tcW w:w="218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TATRA </w:t>
            </w:r>
            <w:proofErr w:type="spellStart"/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Friction</w:t>
            </w:r>
            <w:proofErr w:type="spellEnd"/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 Tester </w:t>
            </w:r>
            <w:proofErr w:type="spellStart"/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Vehicle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0.76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0.57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0.48</w:t>
            </w:r>
          </w:p>
        </w:tc>
      </w:tr>
      <w:tr w:rsidR="00CA100B" w:rsidRPr="00CA100B" w:rsidTr="000E387A">
        <w:tc>
          <w:tcPr>
            <w:tcW w:w="218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5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0.67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0.52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0.42</w:t>
            </w:r>
          </w:p>
        </w:tc>
      </w:tr>
      <w:tr w:rsidR="00CA100B" w:rsidRPr="00CA100B" w:rsidTr="000E387A">
        <w:tc>
          <w:tcPr>
            <w:tcW w:w="2184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 xml:space="preserve">Przyczepa </w:t>
            </w:r>
            <w:proofErr w:type="spellStart"/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GripTester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5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0.74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0.53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57" w:type="dxa"/>
              <w:left w:w="57" w:type="dxa"/>
              <w:bottom w:w="0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0.43</w:t>
            </w:r>
          </w:p>
        </w:tc>
      </w:tr>
      <w:tr w:rsidR="00CA100B" w:rsidRPr="00CA100B" w:rsidTr="000E387A">
        <w:tc>
          <w:tcPr>
            <w:tcW w:w="2184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15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0.64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0.36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CA100B" w:rsidRPr="00CA100B" w:rsidRDefault="00CA100B" w:rsidP="00CA1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</w:pPr>
            <w:r w:rsidRPr="00CA100B">
              <w:rPr>
                <w:rFonts w:ascii="A" w:eastAsia="Times New Roman" w:hAnsi="A" w:cs="Times New Roman"/>
                <w:color w:val="000000"/>
                <w:sz w:val="20"/>
                <w:szCs w:val="20"/>
                <w:lang w:eastAsia="pl-PL"/>
              </w:rPr>
              <w:t>0.24</w:t>
            </w:r>
          </w:p>
        </w:tc>
      </w:tr>
    </w:tbl>
    <w:p w:rsidR="00CA100B" w:rsidRPr="00CA100B" w:rsidRDefault="00CA100B" w:rsidP="00CA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" w:eastAsia="Times New Roman" w:hAnsi="A" w:cs="Times New Roman"/>
          <w:color w:val="000000"/>
          <w:sz w:val="20"/>
          <w:szCs w:val="20"/>
          <w:lang w:eastAsia="pl-PL"/>
        </w:rPr>
      </w:pPr>
    </w:p>
    <w:p w:rsidR="00CA100B" w:rsidRPr="00CA100B" w:rsidRDefault="00CA100B" w:rsidP="00CA1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" w:eastAsia="Times New Roman" w:hAnsi="A" w:cs="Times New Roman"/>
          <w:color w:val="000000"/>
          <w:sz w:val="20"/>
          <w:szCs w:val="20"/>
          <w:lang w:eastAsia="pl-PL"/>
        </w:rPr>
      </w:pPr>
    </w:p>
    <w:p w:rsidR="00064562" w:rsidRDefault="00064562"/>
    <w:sectPr w:rsidR="00064562" w:rsidSect="00064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1B" w:rsidRDefault="00DE581B" w:rsidP="00CA100B">
      <w:pPr>
        <w:spacing w:after="0" w:line="240" w:lineRule="auto"/>
      </w:pPr>
      <w:r>
        <w:separator/>
      </w:r>
    </w:p>
  </w:endnote>
  <w:endnote w:type="continuationSeparator" w:id="0">
    <w:p w:rsidR="00DE581B" w:rsidRDefault="00DE581B" w:rsidP="00CA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1B" w:rsidRDefault="00DE581B" w:rsidP="00CA100B">
      <w:pPr>
        <w:spacing w:after="0" w:line="240" w:lineRule="auto"/>
      </w:pPr>
      <w:r>
        <w:separator/>
      </w:r>
    </w:p>
  </w:footnote>
  <w:footnote w:type="continuationSeparator" w:id="0">
    <w:p w:rsidR="00DE581B" w:rsidRDefault="00DE581B" w:rsidP="00CA100B">
      <w:pPr>
        <w:spacing w:after="0" w:line="240" w:lineRule="auto"/>
      </w:pPr>
      <w:r>
        <w:continuationSeparator/>
      </w:r>
    </w:p>
  </w:footnote>
  <w:footnote w:id="1">
    <w:p w:rsidR="00CA100B" w:rsidRDefault="00CA100B" w:rsidP="00CA100B">
      <w:pPr>
        <w:pStyle w:val="ODNONIKtreodnonika"/>
      </w:pPr>
      <w:r>
        <w:rPr>
          <w:rStyle w:val="Odwoanieprzypisudolnego"/>
        </w:rPr>
        <w:footnoteRef/>
      </w:r>
      <w:r w:rsidRPr="0097561C">
        <w:rPr>
          <w:vertAlign w:val="superscript"/>
        </w:rPr>
        <w:t>)</w:t>
      </w:r>
      <w:r>
        <w:t xml:space="preserve"> </w:t>
      </w:r>
      <w:r w:rsidRPr="00B042EB">
        <w:t>Minister Infrastruktury i Budownictwa kieruje działem administracji rządowej – transport na podstawie § 1 ust. 2 pkt 3 rozporządzenia Prezesa Rady Ministrów z dnia 17 listopada 2015 r. w sprawie szczegółowego zakresu działania Ministra Infrastruktury i Budownictwa (Dz. U. poz. 1907 i 2094</w:t>
      </w:r>
      <w:r>
        <w:t xml:space="preserve"> oraz z 2017 r. poz. 1076</w:t>
      </w:r>
      <w:r w:rsidRPr="00B042EB">
        <w:t>).</w:t>
      </w:r>
    </w:p>
  </w:footnote>
  <w:footnote w:id="2">
    <w:p w:rsidR="00CA100B" w:rsidRDefault="00CA100B" w:rsidP="00CA100B">
      <w:pPr>
        <w:pStyle w:val="ODNONIKtreodnonika"/>
      </w:pPr>
      <w:r>
        <w:rPr>
          <w:rStyle w:val="Odwoanieprzypisudolnego"/>
        </w:rPr>
        <w:footnoteRef/>
      </w:r>
      <w:r w:rsidRPr="0097561C">
        <w:rPr>
          <w:vertAlign w:val="superscript"/>
        </w:rPr>
        <w:t xml:space="preserve">) </w:t>
      </w:r>
      <w:r>
        <w:t xml:space="preserve">Zmiany wymienionej umowy zostały ogłoszone w Dz. U. z  1963 r. poz. 137 i 138, </w:t>
      </w:r>
      <w:r w:rsidRPr="0097561C">
        <w:t xml:space="preserve">z 1969 r. poz. 210 i 211, </w:t>
      </w:r>
      <w:r>
        <w:t>z 1976 r. poz. 130, 131, 188, 189, 227 i 228, z 1984 r. poz. 199 i 200, z 2000 r. poz. 446 i 447, z 2002 r. poz. 527 i 528, z 2003 r. poz. 700 i 701 oraz z 2012 r. poz. 368, 369, 370 i 371.</w:t>
      </w:r>
    </w:p>
  </w:footnote>
  <w:footnote w:id="3">
    <w:p w:rsidR="00CA100B" w:rsidRDefault="00CA100B" w:rsidP="00CA100B">
      <w:pPr>
        <w:pStyle w:val="ODNONIKtreodnonika"/>
      </w:pPr>
      <w:r>
        <w:rPr>
          <w:rStyle w:val="Odwoanieprzypisudolnego"/>
        </w:rPr>
        <w:footnoteRef/>
      </w:r>
      <w:r>
        <w:rPr>
          <w:rStyle w:val="Odwoanieprzypisudolnego"/>
        </w:rPr>
        <w:t>)</w:t>
      </w:r>
      <w:r>
        <w:t xml:space="preserve"> </w:t>
      </w:r>
      <w:r w:rsidRPr="005C0DB6">
        <w:t>Zmiany wymienionego rozporządzenia zostały ogłoszone w Dz. Urz. UE L 199 z 31.07.2009, str. 6, Dz. Urz. UE L 309 z 24.11.2009, str. 51, Dz. Urz. UE L 49 z 24.02.2011, str. 54, Dz. Urz. UE L 4 z 09.01.2013, str. 34</w:t>
      </w:r>
      <w:r>
        <w:t xml:space="preserve">, </w:t>
      </w:r>
      <w:r w:rsidRPr="005C0DB6">
        <w:t>Dz. Urz. UE L 3 z 06.01.2016, str. 1</w:t>
      </w:r>
      <w:r>
        <w:t>, Dz. Urz. UE L 145 z 08.06.2017, str. 27 oraz DZ. Urz. UE L 215 z 19.08.2017, str. 47.</w:t>
      </w:r>
    </w:p>
  </w:footnote>
  <w:footnote w:id="4">
    <w:p w:rsidR="00CA100B" w:rsidRDefault="00CA100B" w:rsidP="00CA100B">
      <w:pPr>
        <w:pStyle w:val="ODNONIKtreodnonika"/>
      </w:pPr>
      <w:r>
        <w:rPr>
          <w:rStyle w:val="Odwoanieprzypisudolnego"/>
        </w:rPr>
        <w:footnoteRef/>
      </w:r>
      <w:r w:rsidRPr="000C3D63">
        <w:rPr>
          <w:vertAlign w:val="superscript"/>
        </w:rPr>
        <w:t>)</w:t>
      </w:r>
      <w:r>
        <w:t xml:space="preserve"> Zmiany do wymienionego rozporządzenia zostały ogłoszone w Dz. Urz. UE L 50 z 26.02.2016, str. 37 oraz Dz. Urz. UE L 27 z 01.02.2017, str. 99.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0B"/>
    <w:rsid w:val="0004107F"/>
    <w:rsid w:val="00064562"/>
    <w:rsid w:val="00122060"/>
    <w:rsid w:val="00AE038C"/>
    <w:rsid w:val="00BC7413"/>
    <w:rsid w:val="00CA100B"/>
    <w:rsid w:val="00CE7C44"/>
    <w:rsid w:val="00D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CA100B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CA100B"/>
    <w:pPr>
      <w:spacing w:after="0" w:line="240" w:lineRule="auto"/>
      <w:ind w:left="284" w:hanging="284"/>
    </w:pPr>
    <w:rPr>
      <w:rFonts w:ascii="Times New Roman" w:eastAsia="Times New Roman" w:hAnsi="Times New Roman" w:cs="Arial"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CA100B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CA100B"/>
    <w:pPr>
      <w:spacing w:after="0" w:line="240" w:lineRule="auto"/>
      <w:ind w:left="284" w:hanging="284"/>
    </w:pPr>
    <w:rPr>
      <w:rFonts w:ascii="Times New Roman" w:eastAsia="Times New Roman" w:hAnsi="Times New Roman" w:cs="Arial"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2261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mstokowski</dc:creator>
  <cp:lastModifiedBy>Babiak Agnieszka</cp:lastModifiedBy>
  <cp:revision>2</cp:revision>
  <dcterms:created xsi:type="dcterms:W3CDTF">2017-11-23T09:04:00Z</dcterms:created>
  <dcterms:modified xsi:type="dcterms:W3CDTF">2017-11-23T09:04:00Z</dcterms:modified>
</cp:coreProperties>
</file>