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31" w:rsidRDefault="00AB51B9">
      <w:pPr>
        <w:pStyle w:val="OZNPROJEKTUwskazaniedatylubwersjiprojektu"/>
      </w:pPr>
      <w:bookmarkStart w:id="0" w:name="_GoBack"/>
      <w:bookmarkEnd w:id="0"/>
      <w:r>
        <w:t>Projekt z dnia 27.02.2019 r.</w:t>
      </w:r>
    </w:p>
    <w:p w:rsidR="00684E31" w:rsidRDefault="00AB51B9">
      <w:pPr>
        <w:pStyle w:val="OZNRODZAKTUtznustawalubrozporzdzenieiorganwydajcy"/>
      </w:pPr>
      <w:r>
        <w:t>ROZPORZĄDZENIE</w:t>
      </w:r>
    </w:p>
    <w:p w:rsidR="00684E31" w:rsidRDefault="00AB51B9">
      <w:pPr>
        <w:pStyle w:val="OZNRODZAKTUtznustawalubrozporzdzenieiorganwydajcy"/>
      </w:pPr>
      <w:r>
        <w:t>MINISTRA INFRASTRUKTURY</w:t>
      </w:r>
      <w:r>
        <w:rPr>
          <w:rStyle w:val="IGindeksgrny"/>
        </w:rPr>
        <w:footnoteReference w:customMarkFollows="1" w:id="1"/>
        <w:t>1)</w:t>
      </w:r>
    </w:p>
    <w:p w:rsidR="00684E31" w:rsidRDefault="00AB51B9">
      <w:pPr>
        <w:pStyle w:val="DATAAKTUdatauchwalenialubwydaniaaktu"/>
      </w:pPr>
      <w:r>
        <w:t>z dnia ……………….. 2019 r.</w:t>
      </w:r>
    </w:p>
    <w:p w:rsidR="00684E31" w:rsidRDefault="00AB51B9">
      <w:pPr>
        <w:pStyle w:val="TYTUAKTUprzedmiotregulacjiustawylubrozporzdzenia"/>
      </w:pPr>
      <w:r>
        <w:t>w sprawie wykazu operacji uznawanych na terytorium Rzeczypospolitej Polskiej za operacje specjalistyczne wysokiego ryzyka</w:t>
      </w:r>
    </w:p>
    <w:p w:rsidR="00684E31" w:rsidRDefault="00AB51B9">
      <w:pPr>
        <w:pStyle w:val="NIEARTTEKSTtekstnieartykuowanynppodstprawnarozplubpreambua"/>
      </w:pPr>
      <w:r>
        <w:t>Na podstawie art. 163c ust. 7 ustawy z dnia 3 lipca 2002 r. – Prawo lotnicze (Dz. U. z 2018 r. poz. 1183, 1629 i 1637 oraz z 2019 r. poz. 235) zarządza się, co następuje:</w:t>
      </w:r>
    </w:p>
    <w:p w:rsidR="00684E31" w:rsidRDefault="00AB51B9">
      <w:pPr>
        <w:pStyle w:val="ARTartustawynprozporzdzenia"/>
      </w:pPr>
      <w:r>
        <w:t>§ 1. Rozporządzenie określa wykaz operacji uznawanych na terytorium Rzeczpospolitej Polskiej za operacje specjalistyczne wysokiego ryzyka.</w:t>
      </w:r>
    </w:p>
    <w:p w:rsidR="00684E31" w:rsidRDefault="00AB51B9">
      <w:pPr>
        <w:pStyle w:val="ARTartustawynprozporzdzenia"/>
      </w:pPr>
      <w:r>
        <w:t>§ 2. Operacjami uznawanymi na terytorium Rzeczypospolitej Polskiej za operacje specjalistyczne wysokiego ryzyka są operacje:</w:t>
      </w:r>
    </w:p>
    <w:p w:rsidR="00684E31" w:rsidRDefault="00AB51B9">
      <w:pPr>
        <w:pStyle w:val="PKTpunkt"/>
      </w:pPr>
      <w:r>
        <w:t xml:space="preserve">1) </w:t>
      </w:r>
      <w:r>
        <w:tab/>
        <w:t xml:space="preserve">wykonywane nad terenami oraz na wysokościach niższych niż określone w przepisach SERA.5005 lit. f załącznika do rozporządzenia wykonawczego Komisji (UE) </w:t>
      </w:r>
      <w:r w:rsidR="00B17B74">
        <w:br/>
      </w:r>
      <w:r>
        <w:t xml:space="preserve">nr 923/2012/UE z dnia 26 września 2012 r. ustanawiającego wspólne zasady </w:t>
      </w:r>
      <w:r w:rsidR="00B17B74">
        <w:br/>
      </w:r>
      <w:r>
        <w:t xml:space="preserve">w odniesieniu do przepisów lotniczych i operacyjnych dotyczących służb i procedur żeglugi powietrznej oraz zmieniającego rozporządzenie wykonawcze (WE) </w:t>
      </w:r>
      <w:r w:rsidR="00B17B74">
        <w:br/>
      </w:r>
      <w:r>
        <w:t xml:space="preserve">nr 1035/2011 oraz rozporządzenia (WE) nr 1265/2007, (WE) nr 1794/2006, (WE) </w:t>
      </w:r>
      <w:r w:rsidR="00B17B74">
        <w:br/>
      </w:r>
      <w:r>
        <w:t xml:space="preserve">nr 730/2006, (WE) nr 1033/2006 i (UE) nr 255/2010 (Dz. Urz. UE L 281 z 13.10.2012, str. 1, z </w:t>
      </w:r>
      <w:proofErr w:type="spellStart"/>
      <w:r>
        <w:t>późn</w:t>
      </w:r>
      <w:proofErr w:type="spellEnd"/>
      <w:r>
        <w:t>. zm.</w:t>
      </w:r>
      <w:r>
        <w:rPr>
          <w:rStyle w:val="Odwoanieprzypisudolnego"/>
        </w:rPr>
        <w:footnoteReference w:customMarkFollows="1" w:id="2"/>
        <w:t>2)</w:t>
      </w:r>
      <w:r>
        <w:t>);</w:t>
      </w:r>
    </w:p>
    <w:p w:rsidR="00684E31" w:rsidRDefault="00AB51B9">
      <w:pPr>
        <w:pStyle w:val="PKTpunkt"/>
      </w:pPr>
      <w:r>
        <w:t xml:space="preserve">2) </w:t>
      </w:r>
      <w:r>
        <w:tab/>
        <w:t xml:space="preserve">wykonywane na wysokościach lub nad terenami, gdzie w sytuacji awarii silnika statku powietrznego nie ma zapewnionego bezpiecznego kontynuowania lotu lub wykonania bezpiecznego lądowania przymusowego, o którym mowa w pkt 105 załącznika I do rozporządzenia Komisji (UE) nr 965/2012 z dnia 5 października 2012 r. ustanawiającego wymagania techniczne i procedury administracyjne odnoszące się </w:t>
      </w:r>
      <w:r w:rsidR="00B17B74">
        <w:br/>
      </w:r>
      <w:r>
        <w:lastRenderedPageBreak/>
        <w:t xml:space="preserve">do operacji lotniczych zgodnie z rozporządzeniem Parlamentu Europejskiego i Rady (WE) nr 216/2008 (Dz. Urz. UE L 296 z 25.10.2012, str. 1, z </w:t>
      </w:r>
      <w:proofErr w:type="spellStart"/>
      <w:r>
        <w:t>późn</w:t>
      </w:r>
      <w:proofErr w:type="spellEnd"/>
      <w:r>
        <w:t>. zm.</w:t>
      </w:r>
      <w:r>
        <w:rPr>
          <w:rStyle w:val="Odwoanieprzypisudolnego"/>
        </w:rPr>
        <w:footnoteReference w:customMarkFollows="1" w:id="3"/>
        <w:t>3)</w:t>
      </w:r>
      <w:r>
        <w:t>);</w:t>
      </w:r>
    </w:p>
    <w:p w:rsidR="00684E31" w:rsidRDefault="00AB51B9">
      <w:pPr>
        <w:pStyle w:val="PKTpunkt"/>
      </w:pPr>
      <w:r>
        <w:t xml:space="preserve">3) </w:t>
      </w:r>
      <w:r>
        <w:tab/>
        <w:t>śmigłowcowe z podwieszonym ładunkiem – HESLO (</w:t>
      </w:r>
      <w:proofErr w:type="spellStart"/>
      <w:r>
        <w:t>Helicopter</w:t>
      </w:r>
      <w:proofErr w:type="spellEnd"/>
      <w:r>
        <w:t xml:space="preserve"> </w:t>
      </w:r>
      <w:proofErr w:type="spellStart"/>
      <w:r>
        <w:t>external</w:t>
      </w:r>
      <w:proofErr w:type="spellEnd"/>
      <w:r>
        <w:t xml:space="preserve"> </w:t>
      </w:r>
      <w:proofErr w:type="spellStart"/>
      <w:r>
        <w:t>sling</w:t>
      </w:r>
      <w:proofErr w:type="spellEnd"/>
      <w:r>
        <w:t xml:space="preserve"> </w:t>
      </w:r>
      <w:proofErr w:type="spellStart"/>
      <w:r>
        <w:t>load</w:t>
      </w:r>
      <w:proofErr w:type="spellEnd"/>
      <w:r>
        <w:t xml:space="preserve"> </w:t>
      </w:r>
      <w:proofErr w:type="spellStart"/>
      <w:r>
        <w:t>operations</w:t>
      </w:r>
      <w:proofErr w:type="spellEnd"/>
      <w:r>
        <w:t>), w tym operacje naciągania linii energetycznych;</w:t>
      </w:r>
    </w:p>
    <w:p w:rsidR="00684E31" w:rsidRDefault="00AB51B9">
      <w:pPr>
        <w:pStyle w:val="PKTpunkt"/>
      </w:pPr>
      <w:r>
        <w:t xml:space="preserve">4) </w:t>
      </w:r>
      <w:r>
        <w:tab/>
        <w:t xml:space="preserve">śmigłowcowe z podwieszoną osobą – HEC (Human </w:t>
      </w:r>
      <w:proofErr w:type="spellStart"/>
      <w:r>
        <w:t>external</w:t>
      </w:r>
      <w:proofErr w:type="spellEnd"/>
      <w:r>
        <w:t xml:space="preserve"> cargo </w:t>
      </w:r>
      <w:proofErr w:type="spellStart"/>
      <w:r>
        <w:t>operations</w:t>
      </w:r>
      <w:proofErr w:type="spellEnd"/>
      <w:r>
        <w:t>), w tym operacje z osobami w koszach roboczych;</w:t>
      </w:r>
    </w:p>
    <w:p w:rsidR="00684E31" w:rsidRDefault="00AB51B9">
      <w:pPr>
        <w:pStyle w:val="PKTpunkt"/>
      </w:pPr>
      <w:r>
        <w:t xml:space="preserve">5) </w:t>
      </w:r>
      <w:r>
        <w:tab/>
        <w:t>związane z przewożeniem osób na zewnątrz statku powietrznego, w tym operacje konserwacji linii energetycznych, operacje dostarczania i opuszczania osób na linach oraz operacje opuszczania i podnoszenia osób na dźwigu – HHO (</w:t>
      </w:r>
      <w:proofErr w:type="spellStart"/>
      <w:r>
        <w:t>Helicopters</w:t>
      </w:r>
      <w:proofErr w:type="spellEnd"/>
      <w:r>
        <w:t xml:space="preserve"> </w:t>
      </w:r>
      <w:proofErr w:type="spellStart"/>
      <w:r>
        <w:t>used</w:t>
      </w:r>
      <w:proofErr w:type="spellEnd"/>
      <w:r>
        <w:t xml:space="preserve"> for </w:t>
      </w:r>
      <w:proofErr w:type="spellStart"/>
      <w:r>
        <w:t>commercial</w:t>
      </w:r>
      <w:proofErr w:type="spellEnd"/>
      <w:r>
        <w:t xml:space="preserve"> </w:t>
      </w:r>
      <w:proofErr w:type="spellStart"/>
      <w:r>
        <w:t>air</w:t>
      </w:r>
      <w:proofErr w:type="spellEnd"/>
      <w:r>
        <w:t xml:space="preserve"> transport </w:t>
      </w:r>
      <w:proofErr w:type="spellStart"/>
      <w:r>
        <w:t>hoist</w:t>
      </w:r>
      <w:proofErr w:type="spellEnd"/>
      <w:r>
        <w:t xml:space="preserve"> </w:t>
      </w:r>
      <w:proofErr w:type="spellStart"/>
      <w:r>
        <w:t>operations</w:t>
      </w:r>
      <w:proofErr w:type="spellEnd"/>
      <w:r>
        <w:t>);</w:t>
      </w:r>
    </w:p>
    <w:p w:rsidR="00684E31" w:rsidRDefault="00AB51B9">
      <w:pPr>
        <w:pStyle w:val="PKTpunkt"/>
      </w:pPr>
      <w:r>
        <w:t xml:space="preserve">6) </w:t>
      </w:r>
      <w:r>
        <w:tab/>
        <w:t>do których wykonania jest wymagane mocowanie wyposażenia znacznie ograniczającego manewrowość statku powietrznego, w tym operacje z podwieszaną piłą;</w:t>
      </w:r>
    </w:p>
    <w:p w:rsidR="00684E31" w:rsidRDefault="00AB51B9">
      <w:pPr>
        <w:pStyle w:val="PKTpunkt"/>
      </w:pPr>
      <w:r>
        <w:t xml:space="preserve">7) </w:t>
      </w:r>
      <w:r>
        <w:tab/>
        <w:t>wykonywane w odległości mniejszej niż 50 m od przeszkody terenowej, w tym patrolowanie linii energetycznych lub rurociągów;</w:t>
      </w:r>
    </w:p>
    <w:p w:rsidR="00684E31" w:rsidRDefault="00AB51B9">
      <w:pPr>
        <w:pStyle w:val="PKTpunkt"/>
      </w:pPr>
      <w:r>
        <w:t xml:space="preserve">8) </w:t>
      </w:r>
      <w:r>
        <w:tab/>
        <w:t>agrolotnicze.</w:t>
      </w:r>
    </w:p>
    <w:p w:rsidR="00684E31" w:rsidRDefault="00AB51B9">
      <w:pPr>
        <w:pStyle w:val="ARTartustawynprozporzdzenia"/>
      </w:pPr>
      <w:r>
        <w:t xml:space="preserve">§ 3. Rozporządzenie wchodzi w życie z dniem 1 kwietnia 2019 r. </w:t>
      </w:r>
    </w:p>
    <w:p w:rsidR="00684E31" w:rsidRDefault="00684E31"/>
    <w:p w:rsidR="00684E31" w:rsidRDefault="00AB51B9">
      <w:pPr>
        <w:pStyle w:val="NAZORGWYDnazwaorganuwydajcegoprojektowanyakt"/>
      </w:pPr>
      <w:r>
        <w:tab/>
        <w:t xml:space="preserve">MINISTER infrastruktury </w:t>
      </w:r>
    </w:p>
    <w:p w:rsidR="00684E31" w:rsidRDefault="00684E31"/>
    <w:p w:rsidR="00684E31" w:rsidRDefault="00684E31"/>
    <w:p w:rsidR="00684E31" w:rsidRDefault="00684E31"/>
    <w:p w:rsidR="00684E31" w:rsidRDefault="00684E31"/>
    <w:p w:rsidR="00070BB1" w:rsidRPr="00BA523D" w:rsidRDefault="00070BB1" w:rsidP="00070BB1">
      <w:pPr>
        <w:spacing w:line="360" w:lineRule="auto"/>
        <w:rPr>
          <w:rStyle w:val="Kkursywa"/>
          <w:lang w:eastAsia="en-US"/>
        </w:rPr>
      </w:pPr>
      <w:r w:rsidRPr="00BA523D">
        <w:rPr>
          <w:rStyle w:val="Kkursywa"/>
          <w:lang w:eastAsia="en-US"/>
        </w:rPr>
        <w:t>Za zgodność pod względem prawnym,</w:t>
      </w:r>
    </w:p>
    <w:p w:rsidR="00070BB1" w:rsidRPr="00BA523D" w:rsidRDefault="00070BB1" w:rsidP="00070BB1">
      <w:pPr>
        <w:spacing w:line="360" w:lineRule="auto"/>
        <w:rPr>
          <w:lang w:eastAsia="en-US"/>
        </w:rPr>
      </w:pPr>
      <w:r w:rsidRPr="00BA523D">
        <w:rPr>
          <w:rStyle w:val="Kkursywa"/>
          <w:lang w:eastAsia="en-US"/>
        </w:rPr>
        <w:t>legislacyjnym i redakcyjnym</w:t>
      </w:r>
    </w:p>
    <w:p w:rsidR="00070BB1" w:rsidRPr="00BA523D" w:rsidRDefault="00070BB1" w:rsidP="00070BB1">
      <w:pPr>
        <w:spacing w:line="360" w:lineRule="auto"/>
        <w:rPr>
          <w:lang w:eastAsia="en-US"/>
        </w:rPr>
      </w:pPr>
      <w:r>
        <w:rPr>
          <w:lang w:eastAsia="en-US"/>
        </w:rPr>
        <w:t>Marcin Przychodzki</w:t>
      </w:r>
    </w:p>
    <w:p w:rsidR="00070BB1" w:rsidRPr="00BA523D" w:rsidRDefault="00070BB1" w:rsidP="00070BB1">
      <w:pPr>
        <w:spacing w:line="360" w:lineRule="auto"/>
        <w:rPr>
          <w:lang w:eastAsia="en-US"/>
        </w:rPr>
      </w:pPr>
      <w:r>
        <w:rPr>
          <w:lang w:eastAsia="en-US"/>
        </w:rPr>
        <w:t xml:space="preserve">Dyrektor </w:t>
      </w:r>
      <w:r w:rsidRPr="00BA523D">
        <w:rPr>
          <w:lang w:eastAsia="en-US"/>
        </w:rPr>
        <w:t>Departamentu Prawnego</w:t>
      </w:r>
    </w:p>
    <w:p w:rsidR="00070BB1" w:rsidRPr="00BA523D" w:rsidRDefault="00070BB1" w:rsidP="00070BB1">
      <w:pPr>
        <w:spacing w:line="360" w:lineRule="auto"/>
        <w:rPr>
          <w:lang w:eastAsia="en-US"/>
        </w:rPr>
      </w:pPr>
      <w:r w:rsidRPr="00BA523D">
        <w:rPr>
          <w:lang w:eastAsia="en-US"/>
        </w:rPr>
        <w:t>w Ministerstwie Infrastruktury</w:t>
      </w:r>
    </w:p>
    <w:p w:rsidR="00684E31" w:rsidRDefault="00070BB1" w:rsidP="00070BB1">
      <w:pPr>
        <w:spacing w:line="360" w:lineRule="auto"/>
      </w:pPr>
      <w:r w:rsidRPr="00BA523D">
        <w:t>/-podpisano elektronicznie/</w:t>
      </w:r>
    </w:p>
    <w:p w:rsidR="00684E31" w:rsidRDefault="00684E31"/>
    <w:p w:rsidR="00684E31" w:rsidRDefault="00070BB1">
      <w:pPr>
        <w:pStyle w:val="ROZDZODDZOZNoznaczenierozdziauluboddziau"/>
      </w:pPr>
      <w:r>
        <w:rPr>
          <w:rStyle w:val="Ppogrubienie"/>
        </w:rPr>
        <w:br w:type="column"/>
      </w:r>
      <w:r w:rsidR="00AB51B9">
        <w:rPr>
          <w:rStyle w:val="Ppogrubienie"/>
        </w:rPr>
        <w:lastRenderedPageBreak/>
        <w:t>UZASADNIENIE</w:t>
      </w:r>
    </w:p>
    <w:p w:rsidR="00684E31" w:rsidRDefault="00684E31">
      <w:pPr>
        <w:pStyle w:val="NIEARTTEKSTtekstnieartykuowanynppodstprawnarozplubpreambua"/>
      </w:pPr>
    </w:p>
    <w:p w:rsidR="00684E31" w:rsidRDefault="00AB51B9">
      <w:pPr>
        <w:pStyle w:val="NIEARTTEKSTtekstnieartykuowanynppodstprawnarozplubpreambua"/>
        <w:ind w:firstLine="0"/>
      </w:pPr>
      <w:r>
        <w:rPr>
          <w:rStyle w:val="Ppogrubienie"/>
        </w:rPr>
        <w:t>I. Potrzeba i cel wydania rozporządzenia</w:t>
      </w:r>
    </w:p>
    <w:p w:rsidR="00684E31" w:rsidRDefault="00AB51B9">
      <w:pPr>
        <w:pStyle w:val="NIEARTTEKSTtekstnieartykuowanynppodstprawnarozplubpreambua"/>
        <w:ind w:firstLine="0"/>
      </w:pPr>
      <w:r>
        <w:t xml:space="preserve">Wydanie rozporządzenia Ministra Infrastruktury w sprawie wykazu operacji uznawanych na terytorium Rzeczypospolitej Polskiej za operacje specjalistyczne wysokiego ryzyka podyktowane jest koniecznością realizacji upoważnienia ustawowego określonego w art. 163c ust. 7 ustawy z dnia 3 lipca 2002 r. – Prawo lotnicze (Dz. U. z 2018 r. poz. 1189, z </w:t>
      </w:r>
      <w:proofErr w:type="spellStart"/>
      <w:r>
        <w:t>poźn</w:t>
      </w:r>
      <w:proofErr w:type="spellEnd"/>
      <w:r>
        <w:t>. zm.), zwanej dalej „ustawą − Prawo lotnicze”, dodanego ustawą z dnia 14 grudnia 2018 r. o zmianie ustawy − Prawo lotnicze oraz niektórych innych ustaw (Dz. U. z 2019 r. poz. 235). Przepis art. 163c ust. 7 ustawy − Prawo lotnicze stanowi, że minister właściwy do spraw transportu, mając na uwadze konieczność zachowania odpowiedniego poziomu bezpieczeństwa operacji lotniczych oraz uwzględniając zagrożenia, jakie te operacje mogą stanowić dla terenu, nad którym będą wykonywane, oraz dla osób trzecich, określi, w drodze rozporządzenia, wykaz operacji uznawanych na terytorium Rzeczpospolitej Polskiej za operacje specjalistyczne wysokiego ryzyka.</w:t>
      </w:r>
    </w:p>
    <w:p w:rsidR="00684E31" w:rsidRDefault="00AB51B9">
      <w:pPr>
        <w:pStyle w:val="NIEARTTEKSTtekstnieartykuowanynppodstprawnarozplubpreambua"/>
        <w:ind w:firstLine="0"/>
      </w:pPr>
      <w:r>
        <w:rPr>
          <w:rStyle w:val="Ppogrubienie"/>
        </w:rPr>
        <w:t>II. Zakres regulacji</w:t>
      </w:r>
    </w:p>
    <w:p w:rsidR="00684E31" w:rsidRDefault="00AB51B9">
      <w:pPr>
        <w:pStyle w:val="NIEARTTEKSTtekstnieartykuowanynppodstprawnarozplubpreambua"/>
        <w:ind w:firstLine="0"/>
      </w:pPr>
      <w:r>
        <w:t xml:space="preserve">Zgodnie z przepisami ustawy – Prawo lotnicze, Prezes Urzędu Lotnictwa Cywilnego, po przeprowadzeniu oceny spełnienia wymagań zgodnie z ORO.SPO.110 załącznika III do rozporządzenia Komisji (UE) nr 965/2012 z dnia 5 października 2012 r. ustanawiającego wymagania techniczne i procedury administracyjne odnoszące się do operacji lotniczych zgodnie z rozporządzeniem Parlamentu Europejskiego i Rady (WE) nr 216/2008 (Dz. Urz. UE L 296 z 25.10.2012, str. 1, z </w:t>
      </w:r>
      <w:proofErr w:type="spellStart"/>
      <w:r>
        <w:t>późn</w:t>
      </w:r>
      <w:proofErr w:type="spellEnd"/>
      <w:r>
        <w:t>. zm.), zwanego dalej „rozporządzeniem nr 965/2012”, wydaje zezwolenie na wykonywanie zarobkowych operacji specjalistycznych wysokiego ryzyka, na wniosek podmiotu zamierzającego wykonywać tego rodzaju operacje. O tym, jakie operacje na terytorium Rzeczpospolitej Polskiej uznawane są za operacje specjalistyczne wysokiego ryzyka rozstrzyga wykaz operacji, które określone zostały w niniejszym rozporządzeniu. Operator każdorazowo planując wykonywanie operacji specjalistycznych powinien rozważyć, czy nie będą one zaliczały się do operacji specjalistycznych wysokiego ryzyka. Po stwierdzeniu, że operacja, którą zamierza wykonywać zalicza się do operacji specjalistycznych wysokiego ryzyka, powinien wystąpić do Prezesa Urzędu Lotnictwa Cywilnego o zezwolenie na jej wykonywanie.</w:t>
      </w:r>
    </w:p>
    <w:p w:rsidR="00684E31" w:rsidRDefault="00AB51B9">
      <w:pPr>
        <w:pStyle w:val="NIEARTTEKSTtekstnieartykuowanynppodstprawnarozplubpreambua"/>
        <w:tabs>
          <w:tab w:val="left" w:pos="2475"/>
        </w:tabs>
        <w:ind w:firstLine="0"/>
      </w:pPr>
      <w:r>
        <w:lastRenderedPageBreak/>
        <w:t>Zgodnie z art. 2 pkt 8 rozporządzenia nr 965/2012, „zarobkowe operacje specjalistyczne wysokiego ryzyka oznaczają wszelkie zarobkowe operacje specjalistyczne przy użyciu statków powietrznych prowadzone nad obszarem, gdzie w sytuacji awaryjnej istnieje prawdopodobieństwo narażenia na niebezpieczeństwo osób trzecich na ziemi, lub według ustaleń właściwego organu dla miejsca, w którym operacja jest prowadzona – wszelkie zarobkowe operacje specjalistyczne przy użyciu statków powietrznych, które, ze względu na swoją specyfikę oraz środowisko lokalne, w którym są prowadzone, stwarzają wysokie ryzyko, w szczególności dla osób trzecich na ziemi”.</w:t>
      </w:r>
    </w:p>
    <w:p w:rsidR="00684E31" w:rsidRDefault="00AB51B9">
      <w:pPr>
        <w:pStyle w:val="NIEARTTEKSTtekstnieartykuowanynppodstprawnarozplubpreambua"/>
        <w:ind w:firstLine="0"/>
      </w:pPr>
      <w:r>
        <w:t>Prezes Urzędu Lotnictwa Cywilnego, kierując się przepisami pkt 8 w załącznika I do rozporządzenia nr 965/2012 w związku z art. 2 pkt 8 oraz SPO.GEN.005 tego rozporządzenia (w tym materiałem doradczym EASA − AMC1 i GM1 do tego przepisu) ustalił ww. katalog operacji specjalistycznych.</w:t>
      </w:r>
    </w:p>
    <w:p w:rsidR="00684E31" w:rsidRDefault="00AB51B9">
      <w:pPr>
        <w:pStyle w:val="NIEARTTEKSTtekstnieartykuowanynppodstprawnarozplubpreambua"/>
        <w:ind w:firstLine="0"/>
      </w:pPr>
      <w:r>
        <w:t>Ponadto, należy zwrócić uwagę, że katalog operacji specjalistycznych wysokiego ryzyka zawarty w niniejszym projekcie rozporządzenia jest podobny do sformułowanych na podstawie ww. przepisów przez inne państwa członkowskie UE. Przykładowo w Austrii jako operacje specjalistyczne uznano: operacje śmigłowcowe z podwieszonym ładunkiem (HESLO), operacje śmigłowcowe z podwieszoną osobą (HEC), operacje przeciwlawinowe, operacje konserwacji/patrolowania linii energetycznych, każda operacja, podczas której obowiązujące normy ochrony (takie jak minimalne wysokości lotu, przeloty pod kablami / konstrukcjami itp.) nie są spełnione, niezależnie od wymaganych specjalnych zezwoleń. W Belgii jako operacje specjalistyczne wysokiego ryzyka zaklasyfikowano loty, o których mowa w ORO.SPO.110 (a)(1), przeprowadzane nad obszarem, w którym bezpieczeństwo osób trzecich na ziemi może być zagrożone w razie sytuacji awaryjnej, wszelkie operacje specjalistyczne wykonywane poniżej minimalnej wysokości SERA; operacje śmigłowcowe z podwieszonym ładunkiem (HESLO), operacje śmigłowcowe z podwieszoną osobą (HEC), zrzucanie przedmiotów.</w:t>
      </w:r>
    </w:p>
    <w:p w:rsidR="00684E31" w:rsidRDefault="00AB51B9">
      <w:pPr>
        <w:pStyle w:val="NIEARTTEKSTtekstnieartykuowanynppodstprawnarozplubpreambua"/>
        <w:ind w:firstLine="0"/>
      </w:pPr>
      <w:r>
        <w:rPr>
          <w:rStyle w:val="Ppogrubienie"/>
        </w:rPr>
        <w:t xml:space="preserve">III.  Informacje związane z procedowaniem projektu  </w:t>
      </w:r>
    </w:p>
    <w:p w:rsidR="00684E31" w:rsidRDefault="00AB51B9">
      <w:pPr>
        <w:pStyle w:val="NIEARTTEKSTtekstnieartykuowanynppodstprawnarozplubpreambua"/>
        <w:ind w:firstLine="0"/>
      </w:pPr>
      <w:r>
        <w:t>Zgodnie z § 3 projektowanego rozporządzenia, rozporządzenie wejdzie w życie z dniem 1 kwietnia 2019 r., tj. z dniem wejścia w życie ustawy z dnia 14 grudnia 2018 r. o zmianie ustawy − Prawo lotnicze oraz niektórych innych ustaw.</w:t>
      </w:r>
    </w:p>
    <w:p w:rsidR="00684E31" w:rsidRDefault="00AB51B9">
      <w:pPr>
        <w:pStyle w:val="NIEARTTEKSTtekstnieartykuowanynppodstprawnarozplubpreambua"/>
        <w:ind w:firstLine="0"/>
      </w:pPr>
      <w:r>
        <w:t xml:space="preserve">W związku z art. 50 ustawy z dnia 27 sierpnia 2009 r. o finansach publicznych (Dz. U. z 2013 r. poz. 885, z </w:t>
      </w:r>
      <w:proofErr w:type="spellStart"/>
      <w:r>
        <w:t>późn</w:t>
      </w:r>
      <w:proofErr w:type="spellEnd"/>
      <w:r>
        <w:t xml:space="preserve">. zm.) projektodawca nie przewiduje, aby projektowane przepisy miały </w:t>
      </w:r>
      <w:r>
        <w:lastRenderedPageBreak/>
        <w:t>wpływ na sektor finansów publicznych, w tym zwiększenie wydatków lub zmniejszenie dochodów jednostek sektora finansów publicznych.</w:t>
      </w:r>
    </w:p>
    <w:p w:rsidR="00684E31" w:rsidRDefault="00AB51B9">
      <w:pPr>
        <w:pStyle w:val="NIEARTTEKSTtekstnieartykuowanynppodstprawnarozplubpreambua"/>
        <w:ind w:firstLine="0"/>
      </w:pPr>
      <w:r>
        <w:t xml:space="preserve">Projekt rozporządzenia nie podlega notyfikacji w trybie określonym w rozporządzeniu Rady Ministrów z dnia 23 grudnia 2002 r. w sprawie sposobu funkcjonowania krajowego systemu notyfikacji norm i aktów prawnych (Dz. U. poz. 2039, z </w:t>
      </w:r>
      <w:proofErr w:type="spellStart"/>
      <w:r>
        <w:t>późn</w:t>
      </w:r>
      <w:proofErr w:type="spellEnd"/>
      <w:r>
        <w:t xml:space="preserve">. zm.) oraz nie wymaga przedstawienia właściwym instytucjom i organom Unii Europejskiej lub Europejskiemu Bankowi Centralnemu. </w:t>
      </w:r>
    </w:p>
    <w:p w:rsidR="00684E31" w:rsidRDefault="00AB51B9">
      <w:pPr>
        <w:pStyle w:val="NIEARTTEKSTtekstnieartykuowanynppodstprawnarozplubpreambua"/>
        <w:ind w:firstLine="0"/>
      </w:pPr>
      <w:r>
        <w:t xml:space="preserve">Zgodnie z § 52 uchwały Nr 190 Rady Ministrów z dnia 29 października 2013 r. – Regulamin pracy Rady Ministrów (M. P. z 2016 r. poz. 1006, z </w:t>
      </w:r>
      <w:proofErr w:type="spellStart"/>
      <w:r>
        <w:t>późn</w:t>
      </w:r>
      <w:proofErr w:type="spellEnd"/>
      <w:r>
        <w:t xml:space="preserve">. zm.) projekt rozporządzenia zostanie zamieszczony w Biuletynie Informacji Publicznej na stronie podmiotowej Rządowego Centrum Legislacji w serwisie Rządowy Proces Legislacyjny. </w:t>
      </w:r>
    </w:p>
    <w:p w:rsidR="00684E31" w:rsidRDefault="00AB51B9">
      <w:pPr>
        <w:pStyle w:val="NIEARTTEKSTtekstnieartykuowanynppodstprawnarozplubpreambua"/>
        <w:ind w:firstLine="0"/>
      </w:pPr>
      <w:r>
        <w:t>Projekt rozporządzenia jest zgodny z prawem Unii Europejskiej.</w:t>
      </w:r>
    </w:p>
    <w:p w:rsidR="00684E31" w:rsidRDefault="00AB51B9">
      <w:pPr>
        <w:pStyle w:val="NIEARTTEKSTtekstnieartykuowanynppodstprawnarozplubpreambua"/>
        <w:ind w:firstLine="0"/>
      </w:pPr>
      <w:r>
        <w:rPr>
          <w:rStyle w:val="Ppogrubienie"/>
        </w:rPr>
        <w:t xml:space="preserve">IV. Ocena wpływu regulacji na działalność </w:t>
      </w:r>
      <w:proofErr w:type="spellStart"/>
      <w:r>
        <w:rPr>
          <w:rStyle w:val="Ppogrubienie"/>
        </w:rPr>
        <w:t>mikroprzedsiębiorców</w:t>
      </w:r>
      <w:proofErr w:type="spellEnd"/>
      <w:r>
        <w:rPr>
          <w:rStyle w:val="Ppogrubienie"/>
        </w:rPr>
        <w:t>, małych i średnich przedsiębiorców</w:t>
      </w:r>
    </w:p>
    <w:p w:rsidR="00684E31" w:rsidRDefault="00AB51B9">
      <w:pPr>
        <w:pStyle w:val="NIEARTTEKSTtekstnieartykuowanynppodstprawnarozplubpreambua"/>
        <w:ind w:firstLine="0"/>
      </w:pPr>
      <w:r>
        <w:t>Projekt nie wpłynie negatywnie na prowadzenie działalności gospodarczej w zakresie przedmiotowego obszaru.</w:t>
      </w:r>
    </w:p>
    <w:p w:rsidR="00D95BF7" w:rsidRDefault="00D95BF7">
      <w:pPr>
        <w:widowControl/>
        <w:suppressAutoHyphens w:val="0"/>
        <w:autoSpaceDE/>
        <w:spacing w:after="200" w:line="276" w:lineRule="auto"/>
        <w:rPr>
          <w:rFonts w:ascii="Times" w:hAnsi="Times"/>
          <w:b/>
          <w:bCs/>
          <w:caps/>
          <w:spacing w:val="54"/>
          <w:kern w:val="3"/>
          <w:sz w:val="24"/>
          <w:szCs w:val="24"/>
        </w:rPr>
      </w:pPr>
      <w:r>
        <w:rPr>
          <w:rFonts w:ascii="Times" w:hAnsi="Times"/>
          <w:b/>
          <w:bCs/>
          <w:caps/>
          <w:spacing w:val="54"/>
          <w:kern w:val="3"/>
          <w:sz w:val="24"/>
          <w:szCs w:val="24"/>
        </w:rPr>
        <w:br w:type="page"/>
      </w:r>
    </w:p>
    <w:tbl>
      <w:tblPr>
        <w:tblW w:w="105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3"/>
        <w:gridCol w:w="599"/>
        <w:gridCol w:w="394"/>
        <w:gridCol w:w="430"/>
        <w:gridCol w:w="384"/>
        <w:gridCol w:w="142"/>
        <w:gridCol w:w="174"/>
        <w:gridCol w:w="353"/>
        <w:gridCol w:w="514"/>
        <w:gridCol w:w="13"/>
        <w:gridCol w:w="112"/>
        <w:gridCol w:w="140"/>
        <w:gridCol w:w="274"/>
        <w:gridCol w:w="329"/>
        <w:gridCol w:w="198"/>
        <w:gridCol w:w="527"/>
        <w:gridCol w:w="79"/>
        <w:gridCol w:w="64"/>
        <w:gridCol w:w="384"/>
        <w:gridCol w:w="110"/>
        <w:gridCol w:w="373"/>
        <w:gridCol w:w="43"/>
        <w:gridCol w:w="253"/>
        <w:gridCol w:w="274"/>
        <w:gridCol w:w="298"/>
        <w:gridCol w:w="229"/>
        <w:gridCol w:w="527"/>
        <w:gridCol w:w="112"/>
        <w:gridCol w:w="1311"/>
        <w:gridCol w:w="9"/>
      </w:tblGrid>
      <w:tr w:rsidR="00D95BF7" w:rsidRPr="002C0B11" w:rsidTr="00C51FCB">
        <w:trPr>
          <w:trHeight w:val="1605"/>
        </w:trPr>
        <w:tc>
          <w:tcPr>
            <w:tcW w:w="6535" w:type="dxa"/>
            <w:gridSpan w:val="17"/>
          </w:tcPr>
          <w:p w:rsidR="00D95BF7" w:rsidRPr="002C0B11" w:rsidRDefault="00D95BF7" w:rsidP="00C51FCB">
            <w:pPr>
              <w:spacing w:before="120"/>
              <w:ind w:hanging="45"/>
              <w:rPr>
                <w:rFonts w:ascii="Times New Roman" w:hAnsi="Times New Roman"/>
                <w:color w:val="000000"/>
                <w:sz w:val="22"/>
                <w:szCs w:val="22"/>
              </w:rPr>
            </w:pPr>
            <w:r w:rsidRPr="002C0B11">
              <w:rPr>
                <w:rFonts w:ascii="Times New Roman" w:hAnsi="Times New Roman"/>
                <w:sz w:val="22"/>
                <w:szCs w:val="22"/>
              </w:rPr>
              <w:lastRenderedPageBreak/>
              <w:br w:type="page"/>
            </w:r>
            <w:bookmarkStart w:id="1" w:name="t1"/>
            <w:r w:rsidRPr="002C0B11">
              <w:rPr>
                <w:rFonts w:ascii="Times New Roman" w:hAnsi="Times New Roman"/>
                <w:b/>
                <w:color w:val="000000"/>
                <w:sz w:val="22"/>
                <w:szCs w:val="22"/>
              </w:rPr>
              <w:t>Nazwa projektu</w:t>
            </w:r>
          </w:p>
          <w:p w:rsidR="00D95BF7" w:rsidRPr="002C0B11" w:rsidRDefault="00D95BF7" w:rsidP="00C51FCB">
            <w:pPr>
              <w:jc w:val="both"/>
              <w:rPr>
                <w:rFonts w:ascii="Times New Roman" w:hAnsi="Times New Roman"/>
                <w:bCs/>
                <w:sz w:val="22"/>
                <w:szCs w:val="22"/>
              </w:rPr>
            </w:pPr>
            <w:r w:rsidRPr="002C0B11">
              <w:rPr>
                <w:rFonts w:ascii="Times New Roman" w:hAnsi="Times New Roman"/>
                <w:color w:val="000000"/>
                <w:sz w:val="22"/>
                <w:szCs w:val="22"/>
              </w:rPr>
              <w:t xml:space="preserve">Rozporządzenie Ministra Infrastruktury w sprawie </w:t>
            </w:r>
            <w:r w:rsidRPr="002C0B11">
              <w:rPr>
                <w:rFonts w:ascii="Times New Roman" w:hAnsi="Times New Roman"/>
                <w:bCs/>
                <w:sz w:val="22"/>
                <w:szCs w:val="22"/>
              </w:rPr>
              <w:t>wykazu operacji uznawanych na terytorium Rzeczypospolitej Polskiej za operacje specjalistyczne wysokiego ryzyka</w:t>
            </w:r>
          </w:p>
          <w:p w:rsidR="00D95BF7" w:rsidRPr="002C0B11" w:rsidRDefault="00D95BF7" w:rsidP="00C51FCB">
            <w:pPr>
              <w:spacing w:before="120"/>
              <w:ind w:hanging="45"/>
              <w:jc w:val="both"/>
              <w:rPr>
                <w:rFonts w:ascii="Times New Roman" w:hAnsi="Times New Roman"/>
                <w:b/>
                <w:color w:val="000000"/>
                <w:sz w:val="22"/>
                <w:szCs w:val="22"/>
              </w:rPr>
            </w:pPr>
            <w:r w:rsidRPr="002C0B11">
              <w:rPr>
                <w:rFonts w:ascii="Times New Roman" w:hAnsi="Times New Roman"/>
                <w:b/>
                <w:color w:val="000000"/>
                <w:sz w:val="22"/>
                <w:szCs w:val="22"/>
              </w:rPr>
              <w:t>Ministerstwo wiodące i ministerstwa współpracujące</w:t>
            </w:r>
          </w:p>
          <w:bookmarkEnd w:id="1"/>
          <w:p w:rsidR="00D95BF7" w:rsidRPr="002C0B11" w:rsidRDefault="00D95BF7" w:rsidP="00C51FCB">
            <w:pPr>
              <w:spacing w:after="120"/>
              <w:ind w:hanging="34"/>
              <w:rPr>
                <w:rFonts w:ascii="Times New Roman" w:hAnsi="Times New Roman"/>
                <w:color w:val="000000"/>
                <w:sz w:val="22"/>
                <w:szCs w:val="22"/>
              </w:rPr>
            </w:pPr>
            <w:r w:rsidRPr="002C0B11">
              <w:rPr>
                <w:rFonts w:ascii="Times New Roman" w:hAnsi="Times New Roman"/>
                <w:color w:val="000000"/>
                <w:sz w:val="22"/>
                <w:szCs w:val="22"/>
              </w:rPr>
              <w:t>Ministerstwo Infrastruktury</w:t>
            </w:r>
          </w:p>
          <w:p w:rsidR="00D95BF7" w:rsidRDefault="00D95BF7" w:rsidP="00C51FCB">
            <w:pPr>
              <w:rPr>
                <w:rFonts w:ascii="Times New Roman" w:hAnsi="Times New Roman"/>
                <w:b/>
                <w:sz w:val="22"/>
                <w:szCs w:val="22"/>
              </w:rPr>
            </w:pPr>
            <w:r w:rsidRPr="002C0B11">
              <w:rPr>
                <w:rFonts w:ascii="Times New Roman" w:hAnsi="Times New Roman"/>
                <w:b/>
                <w:sz w:val="22"/>
                <w:szCs w:val="22"/>
              </w:rPr>
              <w:t>Osoba odpowiedzialna za projekt w randze Ministra, Sekretarza Stanu lub Podsekretarza Stanu</w:t>
            </w:r>
          </w:p>
          <w:p w:rsidR="00D95BF7" w:rsidRPr="00673BE5" w:rsidRDefault="00D95BF7" w:rsidP="00C51FCB">
            <w:pPr>
              <w:rPr>
                <w:rFonts w:ascii="Times New Roman" w:hAnsi="Times New Roman"/>
                <w:sz w:val="22"/>
                <w:szCs w:val="22"/>
              </w:rPr>
            </w:pPr>
            <w:r w:rsidRPr="00673BE5">
              <w:rPr>
                <w:rFonts w:ascii="Times New Roman" w:hAnsi="Times New Roman"/>
                <w:sz w:val="22"/>
                <w:szCs w:val="22"/>
              </w:rPr>
              <w:t>Mikołaj Wild – Sekretarz Stanu</w:t>
            </w:r>
            <w:r>
              <w:rPr>
                <w:rFonts w:ascii="Times New Roman" w:hAnsi="Times New Roman"/>
                <w:sz w:val="22"/>
                <w:szCs w:val="22"/>
              </w:rPr>
              <w:t xml:space="preserve"> w Ministerstwie Infrastruktury</w:t>
            </w:r>
          </w:p>
          <w:p w:rsidR="00D95BF7" w:rsidRPr="002C0B11" w:rsidRDefault="00D95BF7" w:rsidP="00C51FCB">
            <w:pPr>
              <w:spacing w:before="120"/>
              <w:ind w:hanging="45"/>
              <w:rPr>
                <w:rFonts w:ascii="Times New Roman" w:hAnsi="Times New Roman"/>
                <w:b/>
                <w:color w:val="000000"/>
                <w:sz w:val="22"/>
                <w:szCs w:val="22"/>
              </w:rPr>
            </w:pPr>
            <w:r w:rsidRPr="002C0B11">
              <w:rPr>
                <w:rFonts w:ascii="Times New Roman" w:hAnsi="Times New Roman"/>
                <w:b/>
                <w:color w:val="000000"/>
                <w:sz w:val="22"/>
                <w:szCs w:val="22"/>
              </w:rPr>
              <w:t>Kontakt do opiekuna merytorycznego projektu</w:t>
            </w:r>
          </w:p>
          <w:p w:rsidR="00D95BF7" w:rsidRPr="00673BE5" w:rsidRDefault="00D95BF7" w:rsidP="00C51FCB">
            <w:pPr>
              <w:ind w:hanging="45"/>
              <w:rPr>
                <w:rFonts w:ascii="Times New Roman" w:hAnsi="Times New Roman"/>
                <w:sz w:val="22"/>
                <w:szCs w:val="22"/>
              </w:rPr>
            </w:pPr>
            <w:r w:rsidRPr="00673BE5">
              <w:rPr>
                <w:rFonts w:ascii="Times New Roman" w:hAnsi="Times New Roman"/>
                <w:sz w:val="22"/>
                <w:szCs w:val="22"/>
              </w:rPr>
              <w:t xml:space="preserve">Patrycja </w:t>
            </w:r>
            <w:proofErr w:type="spellStart"/>
            <w:r w:rsidRPr="00673BE5">
              <w:rPr>
                <w:rFonts w:ascii="Times New Roman" w:hAnsi="Times New Roman"/>
                <w:sz w:val="22"/>
                <w:szCs w:val="22"/>
              </w:rPr>
              <w:t>Leśkiewicz</w:t>
            </w:r>
            <w:proofErr w:type="spellEnd"/>
            <w:r w:rsidRPr="00673BE5">
              <w:rPr>
                <w:rFonts w:ascii="Times New Roman" w:hAnsi="Times New Roman"/>
                <w:sz w:val="22"/>
                <w:szCs w:val="22"/>
              </w:rPr>
              <w:t xml:space="preserve"> – Specjalista w Departamencie Lotnictwa MI</w:t>
            </w:r>
          </w:p>
          <w:p w:rsidR="00D95BF7" w:rsidRPr="00673BE5" w:rsidRDefault="00D95BF7" w:rsidP="00C51FCB">
            <w:pPr>
              <w:ind w:hanging="45"/>
              <w:rPr>
                <w:rFonts w:ascii="Times New Roman" w:hAnsi="Times New Roman"/>
                <w:color w:val="000000"/>
                <w:sz w:val="22"/>
                <w:szCs w:val="22"/>
                <w:lang w:val="en-US"/>
              </w:rPr>
            </w:pPr>
            <w:r w:rsidRPr="00673BE5">
              <w:rPr>
                <w:rFonts w:ascii="Times New Roman" w:hAnsi="Times New Roman"/>
                <w:color w:val="000000"/>
                <w:sz w:val="22"/>
                <w:szCs w:val="22"/>
                <w:lang w:val="en-US"/>
              </w:rPr>
              <w:t>tel.: 22 630 11 24, e-mail: patrycja.leskiewicz@mi.gov.pl</w:t>
            </w:r>
          </w:p>
          <w:p w:rsidR="00D95BF7" w:rsidRPr="00673BE5" w:rsidRDefault="00D95BF7" w:rsidP="00C51FCB">
            <w:pPr>
              <w:ind w:hanging="34"/>
              <w:rPr>
                <w:rFonts w:ascii="Times New Roman" w:hAnsi="Times New Roman"/>
                <w:color w:val="000000"/>
                <w:sz w:val="22"/>
                <w:szCs w:val="22"/>
                <w:lang w:val="en-US"/>
              </w:rPr>
            </w:pPr>
          </w:p>
        </w:tc>
        <w:tc>
          <w:tcPr>
            <w:tcW w:w="3987" w:type="dxa"/>
            <w:gridSpan w:val="13"/>
            <w:shd w:val="clear" w:color="auto" w:fill="FFFFFF"/>
          </w:tcPr>
          <w:p w:rsidR="00D95BF7" w:rsidRPr="002C0B11" w:rsidRDefault="00D95BF7" w:rsidP="00C51FCB">
            <w:pPr>
              <w:rPr>
                <w:rFonts w:ascii="Times New Roman" w:hAnsi="Times New Roman"/>
                <w:sz w:val="22"/>
                <w:szCs w:val="22"/>
              </w:rPr>
            </w:pPr>
            <w:r w:rsidRPr="002C0B11">
              <w:rPr>
                <w:rFonts w:ascii="Times New Roman" w:hAnsi="Times New Roman"/>
                <w:b/>
                <w:sz w:val="22"/>
                <w:szCs w:val="22"/>
              </w:rPr>
              <w:t>Data sporządzenia</w:t>
            </w:r>
            <w:r w:rsidRPr="002C0B11">
              <w:rPr>
                <w:rFonts w:ascii="Times New Roman" w:hAnsi="Times New Roman"/>
                <w:b/>
                <w:sz w:val="22"/>
                <w:szCs w:val="22"/>
              </w:rPr>
              <w:br/>
            </w:r>
            <w:r>
              <w:rPr>
                <w:rFonts w:ascii="Times New Roman" w:hAnsi="Times New Roman"/>
                <w:sz w:val="22"/>
                <w:szCs w:val="22"/>
              </w:rPr>
              <w:t>27.02</w:t>
            </w:r>
            <w:r w:rsidRPr="002C0B11">
              <w:rPr>
                <w:rFonts w:ascii="Times New Roman" w:hAnsi="Times New Roman"/>
                <w:sz w:val="22"/>
                <w:szCs w:val="22"/>
              </w:rPr>
              <w:t>.201</w:t>
            </w:r>
            <w:r>
              <w:rPr>
                <w:rFonts w:ascii="Times New Roman" w:hAnsi="Times New Roman"/>
                <w:sz w:val="22"/>
                <w:szCs w:val="22"/>
              </w:rPr>
              <w:t>9</w:t>
            </w:r>
            <w:r w:rsidRPr="002C0B11">
              <w:rPr>
                <w:rFonts w:ascii="Times New Roman" w:hAnsi="Times New Roman"/>
                <w:sz w:val="22"/>
                <w:szCs w:val="22"/>
              </w:rPr>
              <w:t xml:space="preserve"> r.</w:t>
            </w:r>
          </w:p>
          <w:p w:rsidR="00D95BF7" w:rsidRPr="002C0B11" w:rsidRDefault="00D95BF7" w:rsidP="00C51FCB">
            <w:pPr>
              <w:rPr>
                <w:rFonts w:ascii="Times New Roman" w:hAnsi="Times New Roman"/>
                <w:b/>
                <w:sz w:val="22"/>
                <w:szCs w:val="22"/>
              </w:rPr>
            </w:pPr>
          </w:p>
          <w:p w:rsidR="00D95BF7" w:rsidRPr="002C0B11" w:rsidRDefault="00D95BF7" w:rsidP="00C51FCB">
            <w:pPr>
              <w:rPr>
                <w:rFonts w:ascii="Times New Roman" w:hAnsi="Times New Roman"/>
                <w:b/>
                <w:sz w:val="22"/>
                <w:szCs w:val="22"/>
              </w:rPr>
            </w:pPr>
            <w:r w:rsidRPr="002C0B11">
              <w:rPr>
                <w:rFonts w:ascii="Times New Roman" w:hAnsi="Times New Roman"/>
                <w:b/>
                <w:sz w:val="22"/>
                <w:szCs w:val="22"/>
              </w:rPr>
              <w:t xml:space="preserve">Źródło: </w:t>
            </w:r>
            <w:bookmarkStart w:id="2" w:name="Lista1"/>
          </w:p>
          <w:bookmarkEnd w:id="2"/>
          <w:p w:rsidR="00D95BF7" w:rsidRPr="002C0B11" w:rsidRDefault="00D95BF7" w:rsidP="00C51FCB">
            <w:pPr>
              <w:rPr>
                <w:rFonts w:ascii="Times New Roman" w:hAnsi="Times New Roman"/>
                <w:sz w:val="22"/>
                <w:szCs w:val="22"/>
              </w:rPr>
            </w:pPr>
            <w:r w:rsidRPr="002C0B11">
              <w:rPr>
                <w:rFonts w:ascii="Times New Roman" w:hAnsi="Times New Roman"/>
                <w:sz w:val="22"/>
                <w:szCs w:val="22"/>
              </w:rPr>
              <w:t xml:space="preserve">art. 163c ust. </w:t>
            </w:r>
            <w:r>
              <w:rPr>
                <w:rFonts w:ascii="Times New Roman" w:hAnsi="Times New Roman"/>
                <w:sz w:val="22"/>
                <w:szCs w:val="22"/>
              </w:rPr>
              <w:t>7</w:t>
            </w:r>
            <w:r w:rsidRPr="002C0B11">
              <w:rPr>
                <w:rFonts w:ascii="Times New Roman" w:hAnsi="Times New Roman"/>
                <w:sz w:val="22"/>
                <w:szCs w:val="22"/>
              </w:rPr>
              <w:t xml:space="preserve"> ustawy z dnia 3 lipca 2002 r. – Prawo lotnicze (Dz. U. z 201</w:t>
            </w:r>
            <w:r>
              <w:rPr>
                <w:rFonts w:ascii="Times New Roman" w:hAnsi="Times New Roman"/>
                <w:sz w:val="22"/>
                <w:szCs w:val="22"/>
              </w:rPr>
              <w:t>8</w:t>
            </w:r>
            <w:r w:rsidRPr="002C0B11">
              <w:rPr>
                <w:rFonts w:ascii="Times New Roman" w:hAnsi="Times New Roman"/>
                <w:sz w:val="22"/>
                <w:szCs w:val="22"/>
              </w:rPr>
              <w:t xml:space="preserve"> r. poz. </w:t>
            </w:r>
            <w:r>
              <w:rPr>
                <w:rFonts w:ascii="Times New Roman" w:hAnsi="Times New Roman"/>
                <w:sz w:val="22"/>
                <w:szCs w:val="22"/>
              </w:rPr>
              <w:t xml:space="preserve">1183, z </w:t>
            </w:r>
            <w:proofErr w:type="spellStart"/>
            <w:r>
              <w:rPr>
                <w:rFonts w:ascii="Times New Roman" w:hAnsi="Times New Roman"/>
                <w:sz w:val="22"/>
                <w:szCs w:val="22"/>
              </w:rPr>
              <w:t>późn</w:t>
            </w:r>
            <w:proofErr w:type="spellEnd"/>
            <w:r>
              <w:rPr>
                <w:rFonts w:ascii="Times New Roman" w:hAnsi="Times New Roman"/>
                <w:sz w:val="22"/>
                <w:szCs w:val="22"/>
              </w:rPr>
              <w:t>. zm.)</w:t>
            </w:r>
          </w:p>
          <w:p w:rsidR="00D95BF7" w:rsidRPr="002C0B11" w:rsidRDefault="00D95BF7" w:rsidP="00C51FCB">
            <w:pPr>
              <w:spacing w:before="120"/>
              <w:rPr>
                <w:rFonts w:ascii="Times New Roman" w:hAnsi="Times New Roman"/>
                <w:b/>
                <w:color w:val="000000"/>
                <w:sz w:val="22"/>
                <w:szCs w:val="22"/>
              </w:rPr>
            </w:pPr>
            <w:r w:rsidRPr="002C0B11">
              <w:rPr>
                <w:rFonts w:ascii="Times New Roman" w:hAnsi="Times New Roman"/>
                <w:b/>
                <w:color w:val="000000"/>
                <w:sz w:val="22"/>
                <w:szCs w:val="22"/>
              </w:rPr>
              <w:t>Nr w wykazie prac legislacyjnych MI</w:t>
            </w:r>
          </w:p>
          <w:p w:rsidR="00D95BF7" w:rsidRPr="002C0B11" w:rsidRDefault="00D95BF7" w:rsidP="00C51FCB">
            <w:pPr>
              <w:rPr>
                <w:rFonts w:ascii="Times New Roman" w:hAnsi="Times New Roman"/>
                <w:color w:val="000000"/>
                <w:sz w:val="22"/>
                <w:szCs w:val="22"/>
              </w:rPr>
            </w:pPr>
            <w:r>
              <w:rPr>
                <w:rFonts w:ascii="Times New Roman" w:hAnsi="Times New Roman"/>
                <w:color w:val="000000"/>
                <w:sz w:val="22"/>
                <w:szCs w:val="22"/>
              </w:rPr>
              <w:t>264</w:t>
            </w:r>
          </w:p>
          <w:p w:rsidR="00D95BF7" w:rsidRPr="002C0B11" w:rsidRDefault="00D95BF7" w:rsidP="00C51FCB">
            <w:pPr>
              <w:rPr>
                <w:rFonts w:ascii="Times New Roman" w:hAnsi="Times New Roman"/>
                <w:color w:val="000000"/>
                <w:sz w:val="22"/>
                <w:szCs w:val="22"/>
              </w:rPr>
            </w:pPr>
          </w:p>
        </w:tc>
      </w:tr>
      <w:tr w:rsidR="00D95BF7" w:rsidRPr="002C0B11" w:rsidTr="00C51FCB">
        <w:trPr>
          <w:trHeight w:val="141"/>
        </w:trPr>
        <w:tc>
          <w:tcPr>
            <w:tcW w:w="10522" w:type="dxa"/>
            <w:gridSpan w:val="30"/>
            <w:shd w:val="clear" w:color="auto" w:fill="99CCFF"/>
          </w:tcPr>
          <w:p w:rsidR="00D95BF7" w:rsidRPr="002C0B11" w:rsidRDefault="00D95BF7" w:rsidP="00C51FCB">
            <w:pPr>
              <w:ind w:left="57"/>
              <w:jc w:val="center"/>
              <w:rPr>
                <w:rFonts w:ascii="Times New Roman" w:hAnsi="Times New Roman"/>
                <w:b/>
                <w:color w:val="FFFFFF"/>
                <w:sz w:val="22"/>
                <w:szCs w:val="22"/>
              </w:rPr>
            </w:pPr>
            <w:r w:rsidRPr="002C0B11">
              <w:rPr>
                <w:rFonts w:ascii="Times New Roman" w:hAnsi="Times New Roman"/>
                <w:b/>
                <w:color w:val="FFFFFF"/>
                <w:sz w:val="22"/>
                <w:szCs w:val="22"/>
              </w:rPr>
              <w:t>OCENA SKUTKÓW REGULACJI</w:t>
            </w:r>
          </w:p>
        </w:tc>
      </w:tr>
      <w:tr w:rsidR="00D95BF7" w:rsidRPr="002C0B11" w:rsidTr="00C51FCB">
        <w:trPr>
          <w:trHeight w:val="331"/>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sz w:val="22"/>
                <w:szCs w:val="22"/>
              </w:rPr>
              <w:t>Jaki problem jest rozwiązywany?</w:t>
            </w:r>
            <w:bookmarkStart w:id="3" w:name="Wybór1"/>
            <w:bookmarkEnd w:id="3"/>
          </w:p>
        </w:tc>
      </w:tr>
      <w:tr w:rsidR="00D95BF7" w:rsidRPr="002C0B11" w:rsidTr="00C51FCB">
        <w:trPr>
          <w:trHeight w:val="141"/>
        </w:trPr>
        <w:tc>
          <w:tcPr>
            <w:tcW w:w="10522" w:type="dxa"/>
            <w:gridSpan w:val="30"/>
            <w:shd w:val="clear" w:color="auto" w:fill="FFFFFF"/>
          </w:tcPr>
          <w:p w:rsidR="00D95BF7" w:rsidRPr="002C0B11" w:rsidRDefault="00D95BF7" w:rsidP="00C51FCB">
            <w:pPr>
              <w:jc w:val="both"/>
              <w:rPr>
                <w:rFonts w:ascii="Times New Roman" w:hAnsi="Times New Roman"/>
                <w:sz w:val="22"/>
                <w:szCs w:val="22"/>
              </w:rPr>
            </w:pPr>
          </w:p>
          <w:p w:rsidR="00D95BF7" w:rsidRPr="002C0B11" w:rsidRDefault="00D95BF7" w:rsidP="00C51FCB">
            <w:pPr>
              <w:jc w:val="both"/>
              <w:rPr>
                <w:rFonts w:ascii="Times New Roman" w:hAnsi="Times New Roman"/>
                <w:sz w:val="22"/>
                <w:szCs w:val="22"/>
              </w:rPr>
            </w:pPr>
            <w:r w:rsidRPr="002C0B11">
              <w:rPr>
                <w:rFonts w:ascii="Times New Roman" w:hAnsi="Times New Roman"/>
                <w:sz w:val="22"/>
                <w:szCs w:val="22"/>
              </w:rPr>
              <w:t xml:space="preserve">Wydanie rozporządzenia </w:t>
            </w:r>
            <w:r w:rsidRPr="002C0B11">
              <w:rPr>
                <w:rFonts w:ascii="Times New Roman" w:hAnsi="Times New Roman"/>
                <w:bCs/>
                <w:sz w:val="22"/>
                <w:szCs w:val="22"/>
              </w:rPr>
              <w:t>w sprawie wykazu operacji uznawanych na terytorium Rzeczypospolitej Polskiej za operacje specjalistyczne wysokiego ryzyka podyktowane jest</w:t>
            </w:r>
            <w:r>
              <w:rPr>
                <w:rFonts w:ascii="Times New Roman" w:hAnsi="Times New Roman"/>
                <w:bCs/>
                <w:sz w:val="22"/>
                <w:szCs w:val="22"/>
              </w:rPr>
              <w:t xml:space="preserve"> koniecznością</w:t>
            </w:r>
            <w:r w:rsidRPr="002C0B11">
              <w:rPr>
                <w:rFonts w:ascii="Times New Roman" w:hAnsi="Times New Roman"/>
                <w:bCs/>
                <w:sz w:val="22"/>
                <w:szCs w:val="22"/>
              </w:rPr>
              <w:t xml:space="preserve"> realizacj</w:t>
            </w:r>
            <w:r>
              <w:rPr>
                <w:rFonts w:ascii="Times New Roman" w:hAnsi="Times New Roman"/>
                <w:bCs/>
                <w:sz w:val="22"/>
                <w:szCs w:val="22"/>
              </w:rPr>
              <w:t>i</w:t>
            </w:r>
            <w:r>
              <w:t xml:space="preserve"> </w:t>
            </w:r>
            <w:r w:rsidRPr="000955E7">
              <w:rPr>
                <w:rFonts w:ascii="Times New Roman" w:hAnsi="Times New Roman"/>
                <w:bCs/>
                <w:sz w:val="22"/>
                <w:szCs w:val="22"/>
              </w:rPr>
              <w:t xml:space="preserve">upoważnienia ustawowego określonego w art. 163c ust. 7 ustawy z dnia 3 lipca 2002 r. – Prawo lotnicze, zwanej dalej „ustawą − Prawo lotnicze”, </w:t>
            </w:r>
            <w:r>
              <w:rPr>
                <w:rFonts w:ascii="Times New Roman" w:hAnsi="Times New Roman"/>
                <w:bCs/>
                <w:sz w:val="22"/>
                <w:szCs w:val="22"/>
              </w:rPr>
              <w:t>dodanego ustawą</w:t>
            </w:r>
            <w:r w:rsidRPr="000955E7">
              <w:rPr>
                <w:rFonts w:ascii="Times New Roman" w:hAnsi="Times New Roman"/>
                <w:bCs/>
                <w:sz w:val="22"/>
                <w:szCs w:val="22"/>
              </w:rPr>
              <w:t xml:space="preserve"> z dnia 14 grudnia 2018 r. o zmianie ustawy </w:t>
            </w:r>
            <w:r w:rsidRPr="0053706E">
              <w:rPr>
                <w:rFonts w:ascii="Times New Roman" w:hAnsi="Times New Roman"/>
                <w:bCs/>
                <w:sz w:val="22"/>
                <w:szCs w:val="22"/>
              </w:rPr>
              <w:t>−</w:t>
            </w:r>
            <w:r>
              <w:rPr>
                <w:rFonts w:ascii="Times New Roman" w:hAnsi="Times New Roman"/>
                <w:bCs/>
                <w:sz w:val="22"/>
                <w:szCs w:val="22"/>
              </w:rPr>
              <w:t xml:space="preserve"> Prawo</w:t>
            </w:r>
            <w:r w:rsidRPr="000955E7">
              <w:rPr>
                <w:rFonts w:ascii="Times New Roman" w:hAnsi="Times New Roman"/>
                <w:bCs/>
                <w:sz w:val="22"/>
                <w:szCs w:val="22"/>
              </w:rPr>
              <w:t xml:space="preserve"> lotnicze oraz niektórych innych ustaw </w:t>
            </w:r>
            <w:r w:rsidRPr="002B2D0F">
              <w:rPr>
                <w:rFonts w:ascii="Times New Roman" w:hAnsi="Times New Roman"/>
                <w:bCs/>
                <w:sz w:val="22"/>
                <w:szCs w:val="22"/>
              </w:rPr>
              <w:t>(Dz. U. z 2019 r. poz. 235)</w:t>
            </w:r>
            <w:r w:rsidRPr="000955E7">
              <w:rPr>
                <w:rFonts w:ascii="Times New Roman" w:hAnsi="Times New Roman"/>
                <w:bCs/>
                <w:sz w:val="22"/>
                <w:szCs w:val="22"/>
              </w:rPr>
              <w:t xml:space="preserve">. </w:t>
            </w:r>
            <w:r w:rsidRPr="002C0B11">
              <w:rPr>
                <w:rFonts w:ascii="Times New Roman" w:hAnsi="Times New Roman"/>
                <w:sz w:val="22"/>
                <w:szCs w:val="22"/>
              </w:rPr>
              <w:t xml:space="preserve">Przepis art. 163c ust. </w:t>
            </w:r>
            <w:r>
              <w:rPr>
                <w:rFonts w:ascii="Times New Roman" w:hAnsi="Times New Roman"/>
                <w:sz w:val="22"/>
                <w:szCs w:val="22"/>
              </w:rPr>
              <w:t>7</w:t>
            </w:r>
            <w:r w:rsidRPr="002C0B11">
              <w:rPr>
                <w:rFonts w:ascii="Times New Roman" w:hAnsi="Times New Roman"/>
                <w:sz w:val="22"/>
                <w:szCs w:val="22"/>
              </w:rPr>
              <w:t xml:space="preserve"> ustawy stanowi, iż </w:t>
            </w:r>
            <w:r>
              <w:rPr>
                <w:rFonts w:ascii="Times New Roman" w:hAnsi="Times New Roman"/>
                <w:sz w:val="22"/>
                <w:szCs w:val="22"/>
              </w:rPr>
              <w:t>m</w:t>
            </w:r>
            <w:r w:rsidRPr="002C0B11">
              <w:rPr>
                <w:rFonts w:ascii="Times New Roman" w:hAnsi="Times New Roman"/>
                <w:sz w:val="22"/>
                <w:szCs w:val="22"/>
              </w:rPr>
              <w:t>inister właściwy do spraw transportu, mając na uwadze konieczność zachowania odpowiedniego poziomu bezpieczeństwa operacji lotniczych oraz uwzględniając zagrożenia, jakie te operacje mogą stanowić dla terenu, nad którym będą wykonywane, oraz dla osób trzecich, określi, w drodze rozporządzenia, wykaz operacji uznawanych na terytorium Rzeczpospolitej Polskiej za operacje specjalistyczne wysokiego ryzyka.</w:t>
            </w:r>
          </w:p>
          <w:p w:rsidR="00D95BF7" w:rsidRPr="002C0B11" w:rsidRDefault="00D95BF7" w:rsidP="00C51FCB">
            <w:pPr>
              <w:jc w:val="both"/>
              <w:rPr>
                <w:rFonts w:ascii="Times New Roman" w:hAnsi="Times New Roman"/>
                <w:color w:val="000000"/>
                <w:sz w:val="22"/>
                <w:szCs w:val="22"/>
              </w:rPr>
            </w:pPr>
          </w:p>
        </w:tc>
      </w:tr>
      <w:tr w:rsidR="00D95BF7" w:rsidRPr="002C0B11" w:rsidTr="00C51FCB">
        <w:trPr>
          <w:trHeight w:val="141"/>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color w:val="000000"/>
                <w:spacing w:val="-2"/>
                <w:sz w:val="22"/>
                <w:szCs w:val="22"/>
              </w:rPr>
              <w:t>Rekomendowane rozwiązanie, w tym planowane narzędzia interwencji, i oczekiwany efekt</w:t>
            </w:r>
          </w:p>
        </w:tc>
      </w:tr>
      <w:tr w:rsidR="00D95BF7" w:rsidRPr="002C0B11" w:rsidTr="00C51FCB">
        <w:trPr>
          <w:trHeight w:val="141"/>
        </w:trPr>
        <w:tc>
          <w:tcPr>
            <w:tcW w:w="10522" w:type="dxa"/>
            <w:gridSpan w:val="30"/>
          </w:tcPr>
          <w:p w:rsidR="00D95BF7" w:rsidRPr="002C0B11" w:rsidRDefault="00D95BF7" w:rsidP="00C51FCB">
            <w:pPr>
              <w:jc w:val="both"/>
              <w:rPr>
                <w:rFonts w:ascii="Times New Roman" w:hAnsi="Times New Roman"/>
                <w:color w:val="000000"/>
                <w:spacing w:val="-2"/>
                <w:sz w:val="22"/>
                <w:szCs w:val="22"/>
              </w:rPr>
            </w:pPr>
          </w:p>
          <w:p w:rsidR="00D95BF7" w:rsidRPr="002C0B11" w:rsidRDefault="00D95BF7" w:rsidP="00C51FCB">
            <w:pPr>
              <w:jc w:val="both"/>
              <w:rPr>
                <w:rFonts w:ascii="Times New Roman" w:hAnsi="Times New Roman"/>
                <w:sz w:val="22"/>
                <w:szCs w:val="22"/>
              </w:rPr>
            </w:pPr>
            <w:r w:rsidRPr="002C0B11">
              <w:rPr>
                <w:rFonts w:ascii="Times New Roman" w:hAnsi="Times New Roman"/>
                <w:color w:val="000000"/>
                <w:spacing w:val="-2"/>
                <w:sz w:val="22"/>
                <w:szCs w:val="22"/>
              </w:rPr>
              <w:t>Wydanie rozporządzeni</w:t>
            </w:r>
            <w:r>
              <w:rPr>
                <w:rFonts w:ascii="Times New Roman" w:hAnsi="Times New Roman"/>
                <w:color w:val="000000"/>
                <w:spacing w:val="-2"/>
                <w:sz w:val="22"/>
                <w:szCs w:val="22"/>
              </w:rPr>
              <w:t>a</w:t>
            </w:r>
            <w:r w:rsidRPr="002C0B11">
              <w:rPr>
                <w:rFonts w:ascii="Times New Roman" w:hAnsi="Times New Roman"/>
                <w:color w:val="000000"/>
                <w:spacing w:val="-2"/>
                <w:sz w:val="22"/>
                <w:szCs w:val="22"/>
              </w:rPr>
              <w:t xml:space="preserve">, które będzie realizować </w:t>
            </w:r>
            <w:r>
              <w:rPr>
                <w:rFonts w:ascii="Times New Roman" w:hAnsi="Times New Roman"/>
                <w:color w:val="000000"/>
                <w:spacing w:val="-2"/>
                <w:sz w:val="22"/>
                <w:szCs w:val="22"/>
              </w:rPr>
              <w:t>upoważnienie</w:t>
            </w:r>
            <w:r w:rsidRPr="002C0B11">
              <w:rPr>
                <w:rFonts w:ascii="Times New Roman" w:hAnsi="Times New Roman"/>
                <w:color w:val="000000"/>
                <w:spacing w:val="-2"/>
                <w:sz w:val="22"/>
                <w:szCs w:val="22"/>
              </w:rPr>
              <w:t xml:space="preserve"> ustawow</w:t>
            </w:r>
            <w:r>
              <w:rPr>
                <w:rFonts w:ascii="Times New Roman" w:hAnsi="Times New Roman"/>
                <w:color w:val="000000"/>
                <w:spacing w:val="-2"/>
                <w:sz w:val="22"/>
                <w:szCs w:val="22"/>
              </w:rPr>
              <w:t>e</w:t>
            </w:r>
            <w:r w:rsidRPr="002C0B11">
              <w:rPr>
                <w:rFonts w:ascii="Times New Roman" w:hAnsi="Times New Roman"/>
                <w:color w:val="000000"/>
                <w:spacing w:val="-2"/>
                <w:sz w:val="22"/>
                <w:szCs w:val="22"/>
              </w:rPr>
              <w:t xml:space="preserve"> </w:t>
            </w:r>
            <w:r>
              <w:rPr>
                <w:rFonts w:ascii="Times New Roman" w:hAnsi="Times New Roman"/>
                <w:color w:val="000000"/>
                <w:spacing w:val="-2"/>
                <w:sz w:val="22"/>
                <w:szCs w:val="22"/>
              </w:rPr>
              <w:t>określone w</w:t>
            </w:r>
            <w:r w:rsidRPr="002C0B11">
              <w:rPr>
                <w:rFonts w:ascii="Times New Roman" w:hAnsi="Times New Roman"/>
                <w:color w:val="000000"/>
                <w:spacing w:val="-2"/>
                <w:sz w:val="22"/>
                <w:szCs w:val="22"/>
              </w:rPr>
              <w:t xml:space="preserve"> art. 163 c ust. </w:t>
            </w:r>
            <w:r>
              <w:rPr>
                <w:rFonts w:ascii="Times New Roman" w:hAnsi="Times New Roman"/>
                <w:color w:val="000000"/>
                <w:spacing w:val="-2"/>
                <w:sz w:val="22"/>
                <w:szCs w:val="22"/>
              </w:rPr>
              <w:t>7</w:t>
            </w:r>
            <w:r w:rsidRPr="002C0B11">
              <w:rPr>
                <w:rFonts w:ascii="Times New Roman" w:hAnsi="Times New Roman"/>
                <w:color w:val="000000"/>
                <w:spacing w:val="-2"/>
                <w:sz w:val="22"/>
                <w:szCs w:val="22"/>
              </w:rPr>
              <w:t xml:space="preserve"> ustawy </w:t>
            </w:r>
            <w:r w:rsidRPr="0053706E">
              <w:rPr>
                <w:rFonts w:ascii="Times New Roman" w:hAnsi="Times New Roman"/>
                <w:color w:val="000000"/>
                <w:spacing w:val="-2"/>
                <w:sz w:val="22"/>
                <w:szCs w:val="22"/>
              </w:rPr>
              <w:t>−</w:t>
            </w:r>
            <w:r>
              <w:rPr>
                <w:rFonts w:ascii="Times New Roman" w:hAnsi="Times New Roman"/>
                <w:color w:val="000000"/>
                <w:spacing w:val="-2"/>
                <w:sz w:val="22"/>
                <w:szCs w:val="22"/>
              </w:rPr>
              <w:t xml:space="preserve"> </w:t>
            </w:r>
            <w:r w:rsidRPr="002C0B11">
              <w:rPr>
                <w:rFonts w:ascii="Times New Roman" w:hAnsi="Times New Roman"/>
                <w:color w:val="000000"/>
                <w:spacing w:val="-2"/>
                <w:sz w:val="22"/>
                <w:szCs w:val="22"/>
              </w:rPr>
              <w:t xml:space="preserve">Prawo lotnicze i które w swej treści określi wykaz operacji specjalistycznych wysokiego ryzyka. Dzięki temu </w:t>
            </w:r>
            <w:r w:rsidRPr="002C0B11">
              <w:rPr>
                <w:rFonts w:ascii="Times New Roman" w:hAnsi="Times New Roman"/>
                <w:color w:val="000000"/>
                <w:sz w:val="22"/>
                <w:szCs w:val="22"/>
              </w:rPr>
              <w:t xml:space="preserve">operator każdorazowo planując wykonywanie zarobkowych operacji specjalistycznych będzie </w:t>
            </w:r>
            <w:r>
              <w:rPr>
                <w:rFonts w:ascii="Times New Roman" w:hAnsi="Times New Roman"/>
                <w:color w:val="000000"/>
                <w:sz w:val="22"/>
                <w:szCs w:val="22"/>
              </w:rPr>
              <w:t>zobowiązany zweryfikować,</w:t>
            </w:r>
            <w:r w:rsidRPr="002C0B11">
              <w:rPr>
                <w:rFonts w:ascii="Times New Roman" w:hAnsi="Times New Roman"/>
                <w:color w:val="000000"/>
                <w:sz w:val="22"/>
                <w:szCs w:val="22"/>
              </w:rPr>
              <w:t xml:space="preserve"> czy nie zaliczają się one do operacji specjalistycznych wysokiego ryzyka </w:t>
            </w:r>
            <w:r>
              <w:rPr>
                <w:rFonts w:ascii="Times New Roman" w:hAnsi="Times New Roman"/>
                <w:color w:val="000000"/>
                <w:sz w:val="22"/>
                <w:szCs w:val="22"/>
              </w:rPr>
              <w:t>określonych w</w:t>
            </w:r>
            <w:r w:rsidRPr="002C0B11">
              <w:rPr>
                <w:rFonts w:ascii="Times New Roman" w:hAnsi="Times New Roman"/>
                <w:color w:val="000000"/>
                <w:sz w:val="22"/>
                <w:szCs w:val="22"/>
              </w:rPr>
              <w:t xml:space="preserve"> wykaz</w:t>
            </w:r>
            <w:r>
              <w:rPr>
                <w:rFonts w:ascii="Times New Roman" w:hAnsi="Times New Roman"/>
                <w:color w:val="000000"/>
                <w:sz w:val="22"/>
                <w:szCs w:val="22"/>
              </w:rPr>
              <w:t>ie</w:t>
            </w:r>
            <w:r w:rsidRPr="002C0B11">
              <w:rPr>
                <w:rFonts w:ascii="Times New Roman" w:hAnsi="Times New Roman"/>
                <w:color w:val="000000"/>
                <w:sz w:val="22"/>
                <w:szCs w:val="22"/>
              </w:rPr>
              <w:t xml:space="preserve"> zawartym w rozporządzeniu. Jeżeli operacja, którą zamierza wykonywać zalicza się do operacji specjalistycznych wysokiego ryzyka, </w:t>
            </w:r>
            <w:r>
              <w:rPr>
                <w:rFonts w:ascii="Times New Roman" w:hAnsi="Times New Roman"/>
                <w:color w:val="000000"/>
                <w:sz w:val="22"/>
                <w:szCs w:val="22"/>
              </w:rPr>
              <w:t xml:space="preserve">operator </w:t>
            </w:r>
            <w:r w:rsidRPr="002C0B11">
              <w:rPr>
                <w:rFonts w:ascii="Times New Roman" w:hAnsi="Times New Roman"/>
                <w:color w:val="000000"/>
                <w:sz w:val="22"/>
                <w:szCs w:val="22"/>
              </w:rPr>
              <w:t>powinien wystąpić do Prezesa Urzędu Lotnictwa Cywilnego o zezwolenie na jej wykonywanie, zgodnie z art. 163c ust.</w:t>
            </w:r>
            <w:r>
              <w:rPr>
                <w:rFonts w:ascii="Times New Roman" w:hAnsi="Times New Roman"/>
                <w:color w:val="000000"/>
                <w:sz w:val="22"/>
                <w:szCs w:val="22"/>
              </w:rPr>
              <w:t xml:space="preserve"> </w:t>
            </w:r>
            <w:r w:rsidRPr="002C0B11">
              <w:rPr>
                <w:rFonts w:ascii="Times New Roman" w:hAnsi="Times New Roman"/>
                <w:color w:val="000000"/>
                <w:sz w:val="22"/>
                <w:szCs w:val="22"/>
              </w:rPr>
              <w:t xml:space="preserve">1 ustawy </w:t>
            </w:r>
            <w:r w:rsidRPr="0053706E">
              <w:rPr>
                <w:rFonts w:ascii="Times New Roman" w:hAnsi="Times New Roman"/>
                <w:color w:val="000000"/>
                <w:sz w:val="22"/>
                <w:szCs w:val="22"/>
              </w:rPr>
              <w:t>−</w:t>
            </w:r>
            <w:r>
              <w:rPr>
                <w:rFonts w:ascii="Times New Roman" w:hAnsi="Times New Roman"/>
                <w:color w:val="000000"/>
                <w:sz w:val="22"/>
                <w:szCs w:val="22"/>
              </w:rPr>
              <w:t xml:space="preserve"> </w:t>
            </w:r>
            <w:r w:rsidRPr="002C0B11">
              <w:rPr>
                <w:rFonts w:ascii="Times New Roman" w:hAnsi="Times New Roman"/>
                <w:color w:val="000000"/>
                <w:sz w:val="22"/>
                <w:szCs w:val="22"/>
              </w:rPr>
              <w:t>Prawo lotnicze.</w:t>
            </w:r>
          </w:p>
          <w:p w:rsidR="00D95BF7" w:rsidRPr="002C0B11" w:rsidRDefault="00D95BF7" w:rsidP="00C51FCB">
            <w:pPr>
              <w:jc w:val="both"/>
              <w:rPr>
                <w:rFonts w:ascii="Times New Roman" w:hAnsi="Times New Roman"/>
                <w:color w:val="000000"/>
                <w:spacing w:val="-2"/>
                <w:sz w:val="22"/>
                <w:szCs w:val="22"/>
              </w:rPr>
            </w:pPr>
          </w:p>
        </w:tc>
      </w:tr>
      <w:tr w:rsidR="00D95BF7" w:rsidRPr="002C0B11" w:rsidTr="00C51FCB">
        <w:trPr>
          <w:trHeight w:val="306"/>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spacing w:val="-2"/>
                <w:sz w:val="22"/>
                <w:szCs w:val="22"/>
              </w:rPr>
              <w:t>Jak problem został rozwiązany w innych krajach, w szczególności krajach członkowskich OECD/UE</w:t>
            </w:r>
            <w:r w:rsidRPr="002C0B11">
              <w:rPr>
                <w:rFonts w:ascii="Times New Roman" w:hAnsi="Times New Roman"/>
                <w:b/>
                <w:color w:val="000000"/>
                <w:sz w:val="22"/>
                <w:szCs w:val="22"/>
              </w:rPr>
              <w:t>?</w:t>
            </w:r>
          </w:p>
        </w:tc>
      </w:tr>
      <w:tr w:rsidR="00D95BF7" w:rsidRPr="002C0B11" w:rsidTr="00C51FCB">
        <w:trPr>
          <w:trHeight w:val="141"/>
        </w:trPr>
        <w:tc>
          <w:tcPr>
            <w:tcW w:w="10522" w:type="dxa"/>
            <w:gridSpan w:val="30"/>
          </w:tcPr>
          <w:p w:rsidR="00D95BF7" w:rsidRPr="002C0B11" w:rsidRDefault="00D95BF7" w:rsidP="00C51FCB">
            <w:pPr>
              <w:jc w:val="both"/>
              <w:rPr>
                <w:rFonts w:ascii="Times New Roman" w:hAnsi="Times New Roman"/>
                <w:color w:val="000000"/>
                <w:spacing w:val="-2"/>
                <w:sz w:val="22"/>
                <w:szCs w:val="22"/>
              </w:rPr>
            </w:pPr>
          </w:p>
          <w:p w:rsidR="00D95BF7" w:rsidRPr="002C0B11" w:rsidRDefault="00D95BF7" w:rsidP="00C51FCB">
            <w:pPr>
              <w:jc w:val="both"/>
              <w:rPr>
                <w:rFonts w:ascii="Times New Roman" w:hAnsi="Times New Roman"/>
                <w:color w:val="0070C0"/>
                <w:sz w:val="22"/>
                <w:szCs w:val="22"/>
              </w:rPr>
            </w:pPr>
            <w:r w:rsidRPr="002C0B11">
              <w:rPr>
                <w:rFonts w:ascii="Times New Roman" w:hAnsi="Times New Roman"/>
                <w:color w:val="000000"/>
                <w:spacing w:val="-2"/>
                <w:sz w:val="22"/>
                <w:szCs w:val="22"/>
              </w:rPr>
              <w:t>Kraje UE (takie jak Austria, Belgia, Bułgaria, Chorwacja, Republika Czeska, Dania, Estonia, Finlandia, Francja, Niemcy, Węgry, Islandia, Irlandia, Włochy, Litwa, Luxemburg, Malta, Niderlandy, Norwegia, Rumunia, Słowacja, Słowenia, Hiszpania, Szwecja, Szwajcaria, UK) w ww. zakresie w sposób zbliżony określają operacje specjalistyczne wysokiego ryzyka.</w:t>
            </w:r>
          </w:p>
          <w:p w:rsidR="00D95BF7" w:rsidRPr="002C0B11" w:rsidRDefault="00D95BF7" w:rsidP="00C51FCB">
            <w:pPr>
              <w:pStyle w:val="CM4"/>
              <w:spacing w:before="60" w:after="60"/>
              <w:jc w:val="both"/>
              <w:rPr>
                <w:color w:val="000000"/>
                <w:sz w:val="22"/>
                <w:szCs w:val="22"/>
              </w:rPr>
            </w:pPr>
            <w:r w:rsidRPr="002C0B11">
              <w:rPr>
                <w:bCs/>
                <w:color w:val="000000"/>
                <w:sz w:val="22"/>
                <w:szCs w:val="22"/>
              </w:rPr>
              <w:t>Zgodnie z przepisem ORO.SPO.110 lit. a</w:t>
            </w:r>
            <w:r>
              <w:rPr>
                <w:bCs/>
                <w:color w:val="000000"/>
                <w:sz w:val="22"/>
                <w:szCs w:val="22"/>
              </w:rPr>
              <w:t xml:space="preserve"> załącznika III do </w:t>
            </w:r>
            <w:r w:rsidRPr="002C0B11">
              <w:rPr>
                <w:bCs/>
                <w:color w:val="000000"/>
                <w:sz w:val="22"/>
                <w:szCs w:val="22"/>
              </w:rPr>
              <w:t>rozporządzenia nr 965/2012</w:t>
            </w:r>
            <w:r w:rsidRPr="002C0B11">
              <w:rPr>
                <w:color w:val="000000"/>
                <w:sz w:val="22"/>
                <w:szCs w:val="22"/>
              </w:rPr>
              <w:t xml:space="preserve"> „Operator wykonujący zarobkowe operacje specjalistyczne musi wystąpić o zezwolenie wydawane przez właściwy organ dla operatora i uzyskać je przed rozpoczęciem zarobkowej operacji specjalistycznej wysokiego ryzyka: </w:t>
            </w:r>
          </w:p>
          <w:p w:rsidR="00D95BF7" w:rsidRPr="002C0B11" w:rsidRDefault="00D95BF7" w:rsidP="00C51FCB">
            <w:pPr>
              <w:pStyle w:val="CM4"/>
              <w:spacing w:before="60" w:after="60"/>
              <w:jc w:val="both"/>
              <w:rPr>
                <w:color w:val="000000"/>
                <w:sz w:val="22"/>
                <w:szCs w:val="22"/>
              </w:rPr>
            </w:pPr>
            <w:r w:rsidRPr="002C0B11">
              <w:rPr>
                <w:color w:val="000000"/>
                <w:sz w:val="22"/>
                <w:szCs w:val="22"/>
              </w:rPr>
              <w:t xml:space="preserve">1) która jest przeprowadzana nad obszarem, gdzie w sytuacji awaryjnej istnieje prawdopodobieństwo narażenia na niebezpieczeństwo osób trzecich na ziemi; lub </w:t>
            </w:r>
          </w:p>
          <w:p w:rsidR="00D95BF7" w:rsidRPr="002C0B11" w:rsidRDefault="00D95BF7" w:rsidP="00C51FCB">
            <w:pPr>
              <w:pStyle w:val="CM4"/>
              <w:spacing w:before="60" w:after="60"/>
              <w:jc w:val="both"/>
              <w:rPr>
                <w:color w:val="000000"/>
                <w:sz w:val="22"/>
                <w:szCs w:val="22"/>
              </w:rPr>
            </w:pPr>
            <w:r w:rsidRPr="002C0B11">
              <w:rPr>
                <w:color w:val="000000"/>
                <w:sz w:val="22"/>
                <w:szCs w:val="22"/>
              </w:rPr>
              <w:t xml:space="preserve">2) która – według ustaleń właściwego organu dla miejsca, w którym operacja jest prowadzona – ze względu na swoją specyfikę oraz środowisko lokalne, w którym jest prowadzona, jest źródłem wysokiego ryzyka, w </w:t>
            </w:r>
            <w:r w:rsidRPr="002C0B11">
              <w:rPr>
                <w:color w:val="000000"/>
                <w:sz w:val="22"/>
                <w:szCs w:val="22"/>
              </w:rPr>
              <w:lastRenderedPageBreak/>
              <w:t>szczególności dla osób trzecich na ziemi”.</w:t>
            </w:r>
          </w:p>
          <w:p w:rsidR="00D95BF7" w:rsidRPr="002C0B11" w:rsidRDefault="00D95BF7" w:rsidP="00C51FCB">
            <w:pPr>
              <w:jc w:val="both"/>
              <w:rPr>
                <w:rFonts w:ascii="Times New Roman" w:hAnsi="Times New Roman"/>
                <w:color w:val="000000"/>
                <w:spacing w:val="-2"/>
                <w:sz w:val="22"/>
                <w:szCs w:val="22"/>
              </w:rPr>
            </w:pPr>
          </w:p>
        </w:tc>
      </w:tr>
      <w:tr w:rsidR="00D95BF7" w:rsidRPr="002C0B11" w:rsidTr="00C51FCB">
        <w:trPr>
          <w:trHeight w:val="357"/>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color w:val="000000"/>
                <w:sz w:val="22"/>
                <w:szCs w:val="22"/>
              </w:rPr>
              <w:lastRenderedPageBreak/>
              <w:t>Podmioty, na które oddziałuje projekt</w:t>
            </w:r>
          </w:p>
        </w:tc>
      </w:tr>
      <w:tr w:rsidR="00D95BF7" w:rsidRPr="002C0B11" w:rsidTr="00C51FCB">
        <w:trPr>
          <w:trHeight w:val="141"/>
        </w:trPr>
        <w:tc>
          <w:tcPr>
            <w:tcW w:w="2866" w:type="dxa"/>
            <w:gridSpan w:val="3"/>
          </w:tcPr>
          <w:p w:rsidR="00D95BF7" w:rsidRPr="002C0B11" w:rsidRDefault="00D95BF7" w:rsidP="00C51FCB">
            <w:pPr>
              <w:spacing w:before="40"/>
              <w:jc w:val="center"/>
              <w:rPr>
                <w:rFonts w:ascii="Times New Roman" w:hAnsi="Times New Roman"/>
                <w:color w:val="000000"/>
                <w:spacing w:val="-2"/>
                <w:sz w:val="22"/>
                <w:szCs w:val="22"/>
              </w:rPr>
            </w:pPr>
            <w:r w:rsidRPr="002C0B11">
              <w:rPr>
                <w:rFonts w:ascii="Times New Roman" w:hAnsi="Times New Roman"/>
                <w:color w:val="000000"/>
                <w:spacing w:val="-2"/>
                <w:sz w:val="22"/>
                <w:szCs w:val="22"/>
              </w:rPr>
              <w:t>Grupa</w:t>
            </w:r>
          </w:p>
        </w:tc>
        <w:tc>
          <w:tcPr>
            <w:tcW w:w="2122" w:type="dxa"/>
            <w:gridSpan w:val="8"/>
          </w:tcPr>
          <w:p w:rsidR="00D95BF7" w:rsidRPr="002C0B11" w:rsidRDefault="00D95BF7" w:rsidP="00C51FCB">
            <w:pPr>
              <w:spacing w:before="40"/>
              <w:jc w:val="center"/>
              <w:rPr>
                <w:rFonts w:ascii="Times New Roman" w:hAnsi="Times New Roman"/>
                <w:color w:val="000000"/>
                <w:spacing w:val="-2"/>
                <w:sz w:val="22"/>
                <w:szCs w:val="22"/>
              </w:rPr>
            </w:pPr>
            <w:r w:rsidRPr="002C0B11">
              <w:rPr>
                <w:rFonts w:ascii="Times New Roman" w:hAnsi="Times New Roman"/>
                <w:color w:val="000000"/>
                <w:spacing w:val="-2"/>
                <w:sz w:val="22"/>
                <w:szCs w:val="22"/>
              </w:rPr>
              <w:t>Wielkość</w:t>
            </w:r>
          </w:p>
        </w:tc>
        <w:tc>
          <w:tcPr>
            <w:tcW w:w="2774" w:type="dxa"/>
            <w:gridSpan w:val="12"/>
          </w:tcPr>
          <w:p w:rsidR="00D95BF7" w:rsidRPr="002C0B11" w:rsidRDefault="00D95BF7" w:rsidP="00C51FCB">
            <w:pPr>
              <w:spacing w:before="40"/>
              <w:jc w:val="center"/>
              <w:rPr>
                <w:rFonts w:ascii="Times New Roman" w:hAnsi="Times New Roman"/>
                <w:color w:val="000000"/>
                <w:spacing w:val="-2"/>
                <w:sz w:val="22"/>
                <w:szCs w:val="22"/>
              </w:rPr>
            </w:pPr>
            <w:r w:rsidRPr="002C0B11">
              <w:rPr>
                <w:rFonts w:ascii="Times New Roman" w:hAnsi="Times New Roman"/>
                <w:color w:val="000000"/>
                <w:spacing w:val="-2"/>
                <w:sz w:val="22"/>
                <w:szCs w:val="22"/>
              </w:rPr>
              <w:t>Źródło danych</w:t>
            </w:r>
          </w:p>
        </w:tc>
        <w:tc>
          <w:tcPr>
            <w:tcW w:w="2760" w:type="dxa"/>
            <w:gridSpan w:val="7"/>
          </w:tcPr>
          <w:p w:rsidR="00D95BF7" w:rsidRPr="002C0B11" w:rsidRDefault="00D95BF7" w:rsidP="00C51FCB">
            <w:pPr>
              <w:spacing w:before="40"/>
              <w:jc w:val="center"/>
              <w:rPr>
                <w:rFonts w:ascii="Times New Roman" w:hAnsi="Times New Roman"/>
                <w:color w:val="000000"/>
                <w:spacing w:val="-2"/>
                <w:sz w:val="22"/>
                <w:szCs w:val="22"/>
              </w:rPr>
            </w:pPr>
            <w:r w:rsidRPr="002C0B11">
              <w:rPr>
                <w:rFonts w:ascii="Times New Roman" w:hAnsi="Times New Roman"/>
                <w:color w:val="000000"/>
                <w:spacing w:val="-2"/>
                <w:sz w:val="22"/>
                <w:szCs w:val="22"/>
              </w:rPr>
              <w:t>Oddziaływanie</w:t>
            </w:r>
          </w:p>
        </w:tc>
      </w:tr>
      <w:tr w:rsidR="00D95BF7" w:rsidRPr="002C0B11" w:rsidTr="00C51FCB">
        <w:trPr>
          <w:trHeight w:val="719"/>
        </w:trPr>
        <w:tc>
          <w:tcPr>
            <w:tcW w:w="2866" w:type="dxa"/>
            <w:gridSpan w:val="3"/>
          </w:tcPr>
          <w:p w:rsidR="00D95BF7" w:rsidRPr="002C0B11" w:rsidRDefault="00D95BF7" w:rsidP="00C51FCB">
            <w:pPr>
              <w:rPr>
                <w:rFonts w:ascii="Times New Roman" w:hAnsi="Times New Roman"/>
                <w:sz w:val="22"/>
                <w:szCs w:val="22"/>
              </w:rPr>
            </w:pPr>
          </w:p>
          <w:p w:rsidR="00D95BF7" w:rsidRPr="002C0B11" w:rsidRDefault="00D95BF7" w:rsidP="00C51FCB">
            <w:pPr>
              <w:rPr>
                <w:rFonts w:ascii="Times New Roman" w:hAnsi="Times New Roman"/>
                <w:sz w:val="22"/>
                <w:szCs w:val="22"/>
              </w:rPr>
            </w:pPr>
            <w:r w:rsidRPr="002C0B11">
              <w:rPr>
                <w:rFonts w:ascii="Times New Roman" w:hAnsi="Times New Roman"/>
                <w:sz w:val="22"/>
                <w:szCs w:val="22"/>
              </w:rPr>
              <w:t>Prezes Urzędu Lotnictwa Cywilnego</w:t>
            </w:r>
          </w:p>
          <w:p w:rsidR="00D95BF7" w:rsidRPr="002C0B11" w:rsidRDefault="00D95BF7" w:rsidP="00C51FCB">
            <w:pPr>
              <w:rPr>
                <w:rFonts w:ascii="Times New Roman" w:hAnsi="Times New Roman"/>
                <w:color w:val="000000"/>
                <w:spacing w:val="-2"/>
                <w:sz w:val="22"/>
                <w:szCs w:val="22"/>
              </w:rPr>
            </w:pPr>
          </w:p>
        </w:tc>
        <w:tc>
          <w:tcPr>
            <w:tcW w:w="2122" w:type="dxa"/>
            <w:gridSpan w:val="8"/>
          </w:tcPr>
          <w:p w:rsidR="00D95BF7" w:rsidRPr="002C0B11" w:rsidRDefault="00D95BF7" w:rsidP="00C51FCB">
            <w:pPr>
              <w:rPr>
                <w:rFonts w:ascii="Times New Roman" w:hAnsi="Times New Roman"/>
                <w:spacing w:val="-2"/>
                <w:sz w:val="22"/>
                <w:szCs w:val="22"/>
              </w:rPr>
            </w:pPr>
            <w:r w:rsidRPr="002C0B11">
              <w:rPr>
                <w:rFonts w:ascii="Times New Roman" w:hAnsi="Times New Roman"/>
                <w:spacing w:val="-2"/>
                <w:sz w:val="22"/>
                <w:szCs w:val="22"/>
              </w:rPr>
              <w:t xml:space="preserve"> </w:t>
            </w:r>
          </w:p>
          <w:p w:rsidR="00D95BF7" w:rsidRPr="002C0B11" w:rsidRDefault="00D95BF7" w:rsidP="00C51FCB">
            <w:pPr>
              <w:rPr>
                <w:rFonts w:ascii="Times New Roman" w:hAnsi="Times New Roman"/>
                <w:color w:val="000000"/>
                <w:spacing w:val="-2"/>
                <w:sz w:val="22"/>
                <w:szCs w:val="22"/>
              </w:rPr>
            </w:pPr>
            <w:r w:rsidRPr="002C0B11">
              <w:rPr>
                <w:rFonts w:ascii="Times New Roman" w:hAnsi="Times New Roman"/>
                <w:spacing w:val="-2"/>
                <w:sz w:val="22"/>
                <w:szCs w:val="22"/>
              </w:rPr>
              <w:t xml:space="preserve">1 podmiot              </w:t>
            </w:r>
          </w:p>
        </w:tc>
        <w:tc>
          <w:tcPr>
            <w:tcW w:w="2774" w:type="dxa"/>
            <w:gridSpan w:val="12"/>
          </w:tcPr>
          <w:p w:rsidR="00D95BF7" w:rsidRPr="002C0B11" w:rsidRDefault="00D95BF7" w:rsidP="00C51FCB">
            <w:pPr>
              <w:jc w:val="both"/>
              <w:rPr>
                <w:rFonts w:ascii="Times New Roman" w:hAnsi="Times New Roman"/>
                <w:color w:val="000000"/>
                <w:spacing w:val="-2"/>
                <w:sz w:val="22"/>
                <w:szCs w:val="22"/>
              </w:rPr>
            </w:pPr>
            <w:r>
              <w:rPr>
                <w:rFonts w:ascii="Times New Roman" w:hAnsi="Times New Roman"/>
                <w:spacing w:val="-2"/>
                <w:sz w:val="22"/>
                <w:szCs w:val="22"/>
              </w:rPr>
              <w:t xml:space="preserve">Ustawa z dnia 3 lipca 2002 r. – Prawo lotnicze </w:t>
            </w:r>
          </w:p>
        </w:tc>
        <w:tc>
          <w:tcPr>
            <w:tcW w:w="2760" w:type="dxa"/>
            <w:gridSpan w:val="7"/>
          </w:tcPr>
          <w:p w:rsidR="00D95BF7" w:rsidRPr="002C0B11" w:rsidRDefault="00D95BF7" w:rsidP="00C51FCB">
            <w:pPr>
              <w:jc w:val="both"/>
              <w:rPr>
                <w:rFonts w:ascii="Times New Roman" w:hAnsi="Times New Roman"/>
                <w:color w:val="000000"/>
                <w:spacing w:val="-2"/>
                <w:sz w:val="22"/>
                <w:szCs w:val="22"/>
              </w:rPr>
            </w:pPr>
            <w:r>
              <w:rPr>
                <w:rFonts w:ascii="Times New Roman" w:hAnsi="Times New Roman"/>
                <w:spacing w:val="-2"/>
                <w:sz w:val="22"/>
                <w:szCs w:val="22"/>
              </w:rPr>
              <w:t xml:space="preserve">Prowadzenie postepowań w sprawie wydania, zmiany, cofnięcia zezwolenia na wykonywanie </w:t>
            </w:r>
            <w:r w:rsidRPr="002C0B11">
              <w:rPr>
                <w:rFonts w:ascii="Times New Roman" w:hAnsi="Times New Roman"/>
                <w:spacing w:val="-2"/>
                <w:sz w:val="22"/>
                <w:szCs w:val="22"/>
              </w:rPr>
              <w:t>operacj</w:t>
            </w:r>
            <w:r>
              <w:rPr>
                <w:rFonts w:ascii="Times New Roman" w:hAnsi="Times New Roman"/>
                <w:spacing w:val="-2"/>
                <w:sz w:val="22"/>
                <w:szCs w:val="22"/>
              </w:rPr>
              <w:t xml:space="preserve">i, które zgodnie z rozporządzeniem </w:t>
            </w:r>
            <w:r w:rsidRPr="002C0B11">
              <w:rPr>
                <w:rFonts w:ascii="Times New Roman" w:hAnsi="Times New Roman"/>
                <w:spacing w:val="-2"/>
                <w:sz w:val="22"/>
                <w:szCs w:val="22"/>
              </w:rPr>
              <w:t xml:space="preserve"> na terytorium RP uznawane są za operacje </w:t>
            </w:r>
            <w:r>
              <w:rPr>
                <w:rFonts w:ascii="Times New Roman" w:hAnsi="Times New Roman"/>
                <w:spacing w:val="-2"/>
                <w:sz w:val="22"/>
                <w:szCs w:val="22"/>
              </w:rPr>
              <w:t xml:space="preserve">specjalistyczne </w:t>
            </w:r>
            <w:r w:rsidRPr="002C0B11">
              <w:rPr>
                <w:rFonts w:ascii="Times New Roman" w:hAnsi="Times New Roman"/>
                <w:spacing w:val="-2"/>
                <w:sz w:val="22"/>
                <w:szCs w:val="22"/>
              </w:rPr>
              <w:t>wysokiego ryzyka</w:t>
            </w:r>
          </w:p>
        </w:tc>
      </w:tr>
      <w:tr w:rsidR="00D95BF7" w:rsidRPr="002C0B11" w:rsidTr="00C51FCB">
        <w:trPr>
          <w:trHeight w:val="141"/>
        </w:trPr>
        <w:tc>
          <w:tcPr>
            <w:tcW w:w="2866" w:type="dxa"/>
            <w:gridSpan w:val="3"/>
          </w:tcPr>
          <w:p w:rsidR="00D95BF7" w:rsidRPr="002C0B11" w:rsidRDefault="00D95BF7" w:rsidP="00C51FCB">
            <w:pPr>
              <w:rPr>
                <w:rFonts w:ascii="Times New Roman" w:hAnsi="Times New Roman"/>
                <w:sz w:val="22"/>
                <w:szCs w:val="22"/>
              </w:rPr>
            </w:pPr>
          </w:p>
          <w:p w:rsidR="00D95BF7" w:rsidRPr="002C0B11" w:rsidRDefault="00D95BF7" w:rsidP="00C51FCB">
            <w:pPr>
              <w:rPr>
                <w:rFonts w:ascii="Times New Roman" w:hAnsi="Times New Roman"/>
                <w:color w:val="000000"/>
                <w:spacing w:val="-2"/>
                <w:sz w:val="22"/>
                <w:szCs w:val="22"/>
              </w:rPr>
            </w:pPr>
            <w:r w:rsidRPr="002C0B11">
              <w:rPr>
                <w:rFonts w:ascii="Times New Roman" w:hAnsi="Times New Roman"/>
                <w:sz w:val="22"/>
                <w:szCs w:val="22"/>
              </w:rPr>
              <w:t>Podmioty wykonujące zarobkowe operacje specjalistyczne wysokiego ryzyka (SPO-HR)</w:t>
            </w:r>
          </w:p>
        </w:tc>
        <w:tc>
          <w:tcPr>
            <w:tcW w:w="2122" w:type="dxa"/>
            <w:gridSpan w:val="8"/>
          </w:tcPr>
          <w:p w:rsidR="00D95BF7" w:rsidRPr="002C0B11" w:rsidRDefault="00D95BF7" w:rsidP="00C51FCB">
            <w:pPr>
              <w:rPr>
                <w:rFonts w:ascii="Times New Roman" w:hAnsi="Times New Roman"/>
                <w:spacing w:val="-2"/>
                <w:sz w:val="22"/>
                <w:szCs w:val="22"/>
              </w:rPr>
            </w:pPr>
          </w:p>
          <w:p w:rsidR="00D95BF7" w:rsidRPr="002C0B11" w:rsidRDefault="00D95BF7" w:rsidP="00C51FCB">
            <w:pPr>
              <w:rPr>
                <w:rFonts w:ascii="Times New Roman" w:hAnsi="Times New Roman"/>
                <w:color w:val="000000"/>
                <w:spacing w:val="-2"/>
                <w:sz w:val="22"/>
                <w:szCs w:val="22"/>
              </w:rPr>
            </w:pPr>
            <w:r w:rsidRPr="002C0B11">
              <w:rPr>
                <w:rFonts w:ascii="Times New Roman" w:hAnsi="Times New Roman"/>
                <w:color w:val="000000"/>
                <w:spacing w:val="-2"/>
                <w:sz w:val="22"/>
                <w:szCs w:val="22"/>
              </w:rPr>
              <w:t>7  podmiotów      </w:t>
            </w:r>
          </w:p>
        </w:tc>
        <w:tc>
          <w:tcPr>
            <w:tcW w:w="2774" w:type="dxa"/>
            <w:gridSpan w:val="12"/>
          </w:tcPr>
          <w:p w:rsidR="00D95BF7" w:rsidRPr="002C0B11" w:rsidRDefault="00D95BF7" w:rsidP="00C51FCB">
            <w:pPr>
              <w:rPr>
                <w:rFonts w:ascii="Times New Roman" w:hAnsi="Times New Roman"/>
                <w:spacing w:val="-2"/>
                <w:sz w:val="22"/>
                <w:szCs w:val="22"/>
              </w:rPr>
            </w:pPr>
          </w:p>
          <w:p w:rsidR="00D95BF7" w:rsidRPr="002C0B11" w:rsidRDefault="00D95BF7" w:rsidP="00C51FCB">
            <w:pPr>
              <w:rPr>
                <w:rFonts w:ascii="Times New Roman" w:hAnsi="Times New Roman"/>
                <w:color w:val="000000"/>
                <w:spacing w:val="-2"/>
                <w:sz w:val="22"/>
                <w:szCs w:val="22"/>
              </w:rPr>
            </w:pPr>
            <w:r w:rsidRPr="002C0B11">
              <w:rPr>
                <w:rFonts w:ascii="Times New Roman" w:hAnsi="Times New Roman"/>
                <w:spacing w:val="-2"/>
                <w:sz w:val="22"/>
                <w:szCs w:val="22"/>
              </w:rPr>
              <w:t>Dane własne organu (ULC)</w:t>
            </w:r>
          </w:p>
        </w:tc>
        <w:tc>
          <w:tcPr>
            <w:tcW w:w="2760" w:type="dxa"/>
            <w:gridSpan w:val="7"/>
          </w:tcPr>
          <w:p w:rsidR="00D95BF7" w:rsidRPr="002C0B11" w:rsidRDefault="00D95BF7" w:rsidP="00C51FCB">
            <w:pPr>
              <w:rPr>
                <w:rFonts w:ascii="Times New Roman" w:hAnsi="Times New Roman"/>
                <w:color w:val="000000"/>
                <w:spacing w:val="-2"/>
                <w:sz w:val="22"/>
                <w:szCs w:val="22"/>
              </w:rPr>
            </w:pPr>
            <w:r>
              <w:rPr>
                <w:rFonts w:ascii="Times New Roman" w:hAnsi="Times New Roman"/>
                <w:spacing w:val="-2"/>
                <w:sz w:val="22"/>
                <w:szCs w:val="22"/>
              </w:rPr>
              <w:t>Z</w:t>
            </w:r>
            <w:r w:rsidRPr="002C0B11">
              <w:rPr>
                <w:rFonts w:ascii="Times New Roman" w:hAnsi="Times New Roman"/>
                <w:spacing w:val="-2"/>
                <w:sz w:val="22"/>
                <w:szCs w:val="22"/>
              </w:rPr>
              <w:t>apewnienie podmiotom spójności i klarowności przepisów</w:t>
            </w:r>
            <w:r>
              <w:rPr>
                <w:rFonts w:ascii="Times New Roman" w:hAnsi="Times New Roman"/>
                <w:spacing w:val="-2"/>
                <w:sz w:val="22"/>
                <w:szCs w:val="22"/>
              </w:rPr>
              <w:t>,</w:t>
            </w:r>
            <w:r w:rsidRPr="002C0B11">
              <w:rPr>
                <w:rFonts w:ascii="Times New Roman" w:hAnsi="Times New Roman"/>
                <w:spacing w:val="-2"/>
                <w:sz w:val="22"/>
                <w:szCs w:val="22"/>
              </w:rPr>
              <w:t xml:space="preserve"> co do jakich operacji powinni uzyskać zezwolenie Prezesa ULC</w:t>
            </w:r>
          </w:p>
        </w:tc>
      </w:tr>
      <w:tr w:rsidR="00D95BF7" w:rsidRPr="002C0B11" w:rsidTr="00C51FCB">
        <w:trPr>
          <w:trHeight w:val="301"/>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color w:val="000000"/>
                <w:sz w:val="22"/>
                <w:szCs w:val="22"/>
              </w:rPr>
              <w:t>Informacje na temat zakresu, czasu trwania i podsumowanie wyników konsultacji</w:t>
            </w:r>
          </w:p>
        </w:tc>
      </w:tr>
      <w:tr w:rsidR="00D95BF7" w:rsidRPr="002C0B11" w:rsidTr="00C51FCB">
        <w:trPr>
          <w:trHeight w:val="340"/>
        </w:trPr>
        <w:tc>
          <w:tcPr>
            <w:tcW w:w="10522" w:type="dxa"/>
            <w:gridSpan w:val="30"/>
            <w:shd w:val="clear" w:color="auto" w:fill="FFFFFF"/>
          </w:tcPr>
          <w:p w:rsidR="00D95BF7" w:rsidRPr="002C0B11" w:rsidRDefault="00D95BF7" w:rsidP="00C51FCB">
            <w:pPr>
              <w:jc w:val="both"/>
              <w:rPr>
                <w:rFonts w:ascii="Times New Roman" w:hAnsi="Times New Roman"/>
                <w:sz w:val="22"/>
                <w:szCs w:val="22"/>
              </w:rPr>
            </w:pPr>
            <w:r w:rsidRPr="002C0B11">
              <w:rPr>
                <w:rFonts w:ascii="Times New Roman" w:hAnsi="Times New Roman"/>
                <w:sz w:val="22"/>
                <w:szCs w:val="22"/>
              </w:rPr>
              <w:t xml:space="preserve">Projekt zostanie przekazany do konsultacji publicznych zgodnie z trybem przewidzianym w Regulaminie </w:t>
            </w:r>
            <w:r>
              <w:rPr>
                <w:rFonts w:ascii="Times New Roman" w:hAnsi="Times New Roman"/>
                <w:sz w:val="22"/>
                <w:szCs w:val="22"/>
              </w:rPr>
              <w:t>p</w:t>
            </w:r>
            <w:r w:rsidRPr="002C0B11">
              <w:rPr>
                <w:rFonts w:ascii="Times New Roman" w:hAnsi="Times New Roman"/>
                <w:sz w:val="22"/>
                <w:szCs w:val="22"/>
              </w:rPr>
              <w:t>racy Rady Ministrów</w:t>
            </w:r>
            <w:r>
              <w:rPr>
                <w:rFonts w:ascii="Times New Roman" w:hAnsi="Times New Roman"/>
                <w:sz w:val="22"/>
                <w:szCs w:val="22"/>
              </w:rPr>
              <w:t xml:space="preserve">. Projekt zostanie zamieszczony </w:t>
            </w:r>
            <w:r w:rsidRPr="001F75DE">
              <w:rPr>
                <w:rFonts w:ascii="Times New Roman" w:hAnsi="Times New Roman"/>
                <w:sz w:val="22"/>
                <w:szCs w:val="22"/>
              </w:rPr>
              <w:t>w Biuletynie Informacji Publicznej na stronie podmiotowej Rządowego Centrum Legislacji w serwisie Rządowy Proces Legislacyjny</w:t>
            </w:r>
            <w:r>
              <w:rPr>
                <w:rFonts w:ascii="Times New Roman" w:hAnsi="Times New Roman"/>
                <w:sz w:val="22"/>
                <w:szCs w:val="22"/>
              </w:rPr>
              <w:t>, a także zostanie udostępniony na stronie internetowej Urzędu Lotnictwa Cywilnego, a informacja o udostępnieniu projektu zostanie przekazana</w:t>
            </w:r>
            <w:r w:rsidRPr="002C0B11">
              <w:rPr>
                <w:rFonts w:ascii="Times New Roman" w:hAnsi="Times New Roman"/>
                <w:sz w:val="22"/>
                <w:szCs w:val="22"/>
              </w:rPr>
              <w:t xml:space="preserve"> następujący</w:t>
            </w:r>
            <w:r>
              <w:rPr>
                <w:rFonts w:ascii="Times New Roman" w:hAnsi="Times New Roman"/>
                <w:sz w:val="22"/>
                <w:szCs w:val="22"/>
              </w:rPr>
              <w:t>m</w:t>
            </w:r>
            <w:r w:rsidRPr="002C0B11">
              <w:rPr>
                <w:rFonts w:ascii="Times New Roman" w:hAnsi="Times New Roman"/>
                <w:sz w:val="22"/>
                <w:szCs w:val="22"/>
              </w:rPr>
              <w:t xml:space="preserve"> podmio</w:t>
            </w:r>
            <w:r>
              <w:rPr>
                <w:rFonts w:ascii="Times New Roman" w:hAnsi="Times New Roman"/>
                <w:sz w:val="22"/>
                <w:szCs w:val="22"/>
              </w:rPr>
              <w:t>tom</w:t>
            </w:r>
            <w:r w:rsidRPr="002C0B11">
              <w:rPr>
                <w:rFonts w:ascii="Times New Roman" w:hAnsi="Times New Roman"/>
                <w:sz w:val="22"/>
                <w:szCs w:val="22"/>
              </w:rPr>
              <w:t>:</w:t>
            </w:r>
          </w:p>
          <w:p w:rsidR="00D95BF7" w:rsidRPr="002C0B11" w:rsidRDefault="00D95BF7" w:rsidP="00C51FCB">
            <w:pPr>
              <w:jc w:val="both"/>
              <w:rPr>
                <w:rFonts w:ascii="Times New Roman" w:hAnsi="Times New Roman"/>
                <w:sz w:val="22"/>
                <w:szCs w:val="22"/>
              </w:rPr>
            </w:pP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pacing w:val="-2"/>
                <w:sz w:val="22"/>
                <w:szCs w:val="22"/>
                <w:lang w:eastAsia="en-US"/>
              </w:rPr>
              <w:t>Andrzej Szymański „LARS”, ul. Człuchowska 12,60-324 Niepruszewo;</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proofErr w:type="spellStart"/>
            <w:r w:rsidRPr="002C0B11">
              <w:rPr>
                <w:rFonts w:ascii="Times New Roman" w:hAnsi="Times New Roman"/>
                <w:spacing w:val="-2"/>
                <w:sz w:val="22"/>
                <w:szCs w:val="22"/>
              </w:rPr>
              <w:t>Aircom</w:t>
            </w:r>
            <w:proofErr w:type="spellEnd"/>
            <w:r w:rsidRPr="002C0B11">
              <w:rPr>
                <w:rFonts w:ascii="Times New Roman" w:hAnsi="Times New Roman"/>
                <w:spacing w:val="-2"/>
                <w:sz w:val="22"/>
                <w:szCs w:val="22"/>
              </w:rPr>
              <w:t xml:space="preserve"> Sp. z o.o., ul. Mokotowska 15A/4 00-640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pacing w:val="-2"/>
                <w:sz w:val="22"/>
                <w:szCs w:val="22"/>
                <w:lang w:eastAsia="en-US"/>
              </w:rPr>
              <w:t xml:space="preserve">SALT AVIATION Sp. z o.o. ul. Gen. Wiktora </w:t>
            </w:r>
            <w:proofErr w:type="spellStart"/>
            <w:r w:rsidRPr="002C0B11">
              <w:rPr>
                <w:rFonts w:ascii="Times New Roman" w:hAnsi="Times New Roman"/>
                <w:spacing w:val="-2"/>
                <w:sz w:val="22"/>
                <w:szCs w:val="22"/>
                <w:lang w:eastAsia="en-US"/>
              </w:rPr>
              <w:t>Thommee</w:t>
            </w:r>
            <w:proofErr w:type="spellEnd"/>
            <w:r w:rsidRPr="002C0B11">
              <w:rPr>
                <w:rFonts w:ascii="Times New Roman" w:hAnsi="Times New Roman"/>
                <w:spacing w:val="-2"/>
                <w:sz w:val="22"/>
                <w:szCs w:val="22"/>
                <w:lang w:eastAsia="en-US"/>
              </w:rPr>
              <w:t xml:space="preserve"> 1a, 05-102 Nowy Dwór Mazowiecki;</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pacing w:val="-2"/>
                <w:sz w:val="22"/>
                <w:szCs w:val="22"/>
              </w:rPr>
              <w:t>Lima Sp. z o.o., ul. Ostrowite 37, 87-400 Golub-Dobrzyń;</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pacing w:val="-2"/>
                <w:sz w:val="22"/>
                <w:szCs w:val="22"/>
              </w:rPr>
              <w:t>Aeroklub Ziemi Lubuskiej, Przylep - Skokowa 18, 66-015 Zielona Góra;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proofErr w:type="spellStart"/>
            <w:r w:rsidRPr="002C0B11">
              <w:rPr>
                <w:rFonts w:ascii="Times New Roman" w:hAnsi="Times New Roman"/>
                <w:sz w:val="22"/>
                <w:szCs w:val="22"/>
                <w:lang w:val="en-US"/>
              </w:rPr>
              <w:t>Firsteuropean</w:t>
            </w:r>
            <w:proofErr w:type="spellEnd"/>
            <w:r w:rsidRPr="002C0B11">
              <w:rPr>
                <w:rFonts w:ascii="Times New Roman" w:hAnsi="Times New Roman"/>
                <w:sz w:val="22"/>
                <w:szCs w:val="22"/>
                <w:lang w:val="en-US"/>
              </w:rPr>
              <w:t xml:space="preserve"> Aviation Company Sp. z </w:t>
            </w:r>
            <w:proofErr w:type="spellStart"/>
            <w:r w:rsidRPr="002C0B11">
              <w:rPr>
                <w:rFonts w:ascii="Times New Roman" w:hAnsi="Times New Roman"/>
                <w:sz w:val="22"/>
                <w:szCs w:val="22"/>
                <w:lang w:val="en-US"/>
              </w:rPr>
              <w:t>o.o</w:t>
            </w:r>
            <w:proofErr w:type="spellEnd"/>
            <w:r w:rsidRPr="002C0B11">
              <w:rPr>
                <w:rFonts w:ascii="Times New Roman" w:hAnsi="Times New Roman"/>
                <w:sz w:val="22"/>
                <w:szCs w:val="22"/>
                <w:lang w:val="en-US"/>
              </w:rPr>
              <w:t xml:space="preserve">., </w:t>
            </w:r>
            <w:proofErr w:type="spellStart"/>
            <w:r w:rsidRPr="002C0B11">
              <w:rPr>
                <w:rFonts w:ascii="Times New Roman" w:hAnsi="Times New Roman"/>
                <w:sz w:val="22"/>
                <w:szCs w:val="22"/>
                <w:lang w:val="en-US"/>
              </w:rPr>
              <w:t>ul</w:t>
            </w:r>
            <w:proofErr w:type="spellEnd"/>
            <w:r w:rsidRPr="002C0B11">
              <w:rPr>
                <w:rFonts w:ascii="Times New Roman" w:hAnsi="Times New Roman"/>
                <w:sz w:val="22"/>
                <w:szCs w:val="22"/>
                <w:lang w:val="en-US"/>
              </w:rPr>
              <w:t xml:space="preserve">. </w:t>
            </w:r>
            <w:r w:rsidRPr="002C0B11">
              <w:rPr>
                <w:rFonts w:ascii="Times New Roman" w:hAnsi="Times New Roman"/>
                <w:sz w:val="22"/>
                <w:szCs w:val="22"/>
              </w:rPr>
              <w:t>Księżycowa 1,01-934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proofErr w:type="spellStart"/>
            <w:r w:rsidRPr="002C0B11">
              <w:rPr>
                <w:rStyle w:val="Pogrubienie"/>
                <w:rFonts w:ascii="Times New Roman" w:hAnsi="Times New Roman"/>
                <w:bCs/>
                <w:color w:val="000000"/>
                <w:sz w:val="22"/>
                <w:szCs w:val="22"/>
              </w:rPr>
              <w:t>HeliPoland</w:t>
            </w:r>
            <w:proofErr w:type="spellEnd"/>
            <w:r w:rsidRPr="002C0B11">
              <w:rPr>
                <w:rStyle w:val="Pogrubienie"/>
                <w:rFonts w:ascii="Times New Roman" w:hAnsi="Times New Roman"/>
                <w:bCs/>
                <w:color w:val="000000"/>
                <w:sz w:val="22"/>
                <w:szCs w:val="22"/>
              </w:rPr>
              <w:t> Sp. z o.o.</w:t>
            </w:r>
            <w:r w:rsidRPr="002C0B11">
              <w:rPr>
                <w:rFonts w:ascii="Times New Roman" w:hAnsi="Times New Roman"/>
                <w:color w:val="000000"/>
                <w:sz w:val="22"/>
                <w:szCs w:val="22"/>
              </w:rPr>
              <w:t> , ul. Cieszyńska 317, 43-300 Bielsko-Biała;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Regionalnych Portów Lotniczych, ul. Gen. S. Maczka 35, 94-328 Łódź;</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Zawodowy Kontrolerów Ruchu Lotniczego, ul. Wieżowa 8, 02-147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Zawodowy Naziemnego Personelu Lotniczego, ul. 17 Stycznia 39, 00-906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Zawodowy Pilotów Komunikacyjnych, ul. 17 Stycznia 39, 00-906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Zawodowy Personelu Pokładowego PLL LOT, ul. 17 Stycznia 39, 00-906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Zawodowy Pracowników Służb Ruchu Lotniczego, ul. Wieżowa 8, 02-147 Warszawa;</w:t>
            </w:r>
          </w:p>
          <w:p w:rsidR="00D95BF7" w:rsidRPr="002C0B11"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Związek Zawodowy Pracowników Portu Lotniczego Warszawa- Okęcie, ul. Żwirki i Wigury 1, 00-906 Warszawa;</w:t>
            </w:r>
          </w:p>
          <w:p w:rsidR="00D95BF7" w:rsidRDefault="00D95BF7" w:rsidP="00D95BF7">
            <w:pPr>
              <w:numPr>
                <w:ilvl w:val="0"/>
                <w:numId w:val="4"/>
              </w:numPr>
              <w:suppressAutoHyphens w:val="0"/>
              <w:adjustRightInd w:val="0"/>
              <w:jc w:val="both"/>
              <w:textAlignment w:val="auto"/>
              <w:rPr>
                <w:rFonts w:ascii="Times New Roman" w:hAnsi="Times New Roman"/>
                <w:sz w:val="22"/>
                <w:szCs w:val="22"/>
              </w:rPr>
            </w:pPr>
            <w:r w:rsidRPr="002C0B11">
              <w:rPr>
                <w:rFonts w:ascii="Times New Roman" w:hAnsi="Times New Roman"/>
                <w:sz w:val="22"/>
                <w:szCs w:val="22"/>
              </w:rPr>
              <w:t>Żelazny 6 Wojciech Krupa, Lotnisko Kobylnica, 62-006 Kobylnica.</w:t>
            </w:r>
          </w:p>
          <w:p w:rsidR="00D95BF7" w:rsidRPr="002C0B11" w:rsidRDefault="00D95BF7" w:rsidP="00C51FCB">
            <w:pPr>
              <w:jc w:val="both"/>
              <w:rPr>
                <w:rFonts w:ascii="Times New Roman" w:hAnsi="Times New Roman"/>
                <w:sz w:val="22"/>
                <w:szCs w:val="22"/>
              </w:rPr>
            </w:pPr>
            <w:r>
              <w:rPr>
                <w:rFonts w:ascii="Times New Roman" w:hAnsi="Times New Roman"/>
                <w:sz w:val="22"/>
                <w:szCs w:val="22"/>
              </w:rPr>
              <w:t>Konsultacje publiczne będą trwały 14 dni.</w:t>
            </w:r>
          </w:p>
          <w:p w:rsidR="00D95BF7" w:rsidRPr="002C0B11" w:rsidRDefault="00D95BF7" w:rsidP="00C51FCB">
            <w:pPr>
              <w:ind w:left="360"/>
              <w:jc w:val="both"/>
              <w:rPr>
                <w:rFonts w:ascii="Times New Roman" w:hAnsi="Times New Roman"/>
                <w:sz w:val="22"/>
                <w:szCs w:val="22"/>
              </w:rPr>
            </w:pPr>
          </w:p>
        </w:tc>
      </w:tr>
      <w:tr w:rsidR="00D95BF7" w:rsidRPr="002C0B11" w:rsidTr="00C51FCB">
        <w:trPr>
          <w:trHeight w:val="361"/>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color w:val="000000"/>
                <w:sz w:val="22"/>
                <w:szCs w:val="22"/>
              </w:rPr>
              <w:t xml:space="preserve"> Wpływ na sektor finansów publicznych</w:t>
            </w:r>
          </w:p>
        </w:tc>
      </w:tr>
      <w:tr w:rsidR="00D95BF7" w:rsidRPr="002C0B11" w:rsidTr="00C51FCB">
        <w:trPr>
          <w:trHeight w:val="141"/>
        </w:trPr>
        <w:tc>
          <w:tcPr>
            <w:tcW w:w="3296" w:type="dxa"/>
            <w:gridSpan w:val="4"/>
            <w:vMerge w:val="restart"/>
            <w:shd w:val="clear" w:color="auto" w:fill="FFFFFF"/>
          </w:tcPr>
          <w:p w:rsidR="00D95BF7" w:rsidRPr="002C0B11" w:rsidRDefault="00D95BF7" w:rsidP="00C51FCB">
            <w:pPr>
              <w:spacing w:before="40" w:after="40"/>
              <w:rPr>
                <w:rFonts w:ascii="Times New Roman" w:hAnsi="Times New Roman"/>
                <w:i/>
                <w:color w:val="000000"/>
                <w:sz w:val="22"/>
                <w:szCs w:val="22"/>
              </w:rPr>
            </w:pPr>
            <w:r w:rsidRPr="002C0B11">
              <w:rPr>
                <w:rFonts w:ascii="Times New Roman" w:hAnsi="Times New Roman"/>
                <w:color w:val="000000"/>
                <w:sz w:val="22"/>
                <w:szCs w:val="22"/>
              </w:rPr>
              <w:t>(ceny stałe z …… r.)</w:t>
            </w:r>
          </w:p>
        </w:tc>
        <w:tc>
          <w:tcPr>
            <w:tcW w:w="7226" w:type="dxa"/>
            <w:gridSpan w:val="26"/>
            <w:shd w:val="clear" w:color="auto" w:fill="FFFFFF"/>
          </w:tcPr>
          <w:p w:rsidR="00D95BF7" w:rsidRPr="002C0B11" w:rsidRDefault="00D95BF7" w:rsidP="00C51FCB">
            <w:pPr>
              <w:spacing w:before="40" w:after="40"/>
              <w:jc w:val="center"/>
              <w:rPr>
                <w:rFonts w:ascii="Times New Roman" w:hAnsi="Times New Roman"/>
                <w:i/>
                <w:color w:val="000000"/>
                <w:spacing w:val="-2"/>
                <w:sz w:val="22"/>
                <w:szCs w:val="22"/>
              </w:rPr>
            </w:pPr>
            <w:r w:rsidRPr="002C0B11">
              <w:rPr>
                <w:rFonts w:ascii="Times New Roman" w:hAnsi="Times New Roman"/>
                <w:color w:val="000000"/>
                <w:sz w:val="22"/>
                <w:szCs w:val="22"/>
              </w:rPr>
              <w:t>Skutki w okresie 10 lat od wejścia w życie zmian [mln zł]</w:t>
            </w:r>
          </w:p>
        </w:tc>
      </w:tr>
      <w:tr w:rsidR="00D95BF7" w:rsidRPr="002C0B11" w:rsidTr="00C51FCB">
        <w:trPr>
          <w:gridAfter w:val="1"/>
          <w:wAfter w:w="9" w:type="dxa"/>
          <w:trHeight w:val="141"/>
        </w:trPr>
        <w:tc>
          <w:tcPr>
            <w:tcW w:w="3296" w:type="dxa"/>
            <w:gridSpan w:val="4"/>
            <w:vMerge/>
            <w:shd w:val="clear" w:color="auto" w:fill="FFFFFF"/>
          </w:tcPr>
          <w:p w:rsidR="00D95BF7" w:rsidRPr="002C0B11" w:rsidRDefault="00D95BF7" w:rsidP="00C51FCB">
            <w:pPr>
              <w:spacing w:before="40" w:after="40"/>
              <w:rPr>
                <w:rFonts w:ascii="Times New Roman" w:hAnsi="Times New Roman"/>
                <w:i/>
                <w:color w:val="000000"/>
                <w:sz w:val="22"/>
                <w:szCs w:val="22"/>
              </w:rPr>
            </w:pPr>
          </w:p>
        </w:tc>
        <w:tc>
          <w:tcPr>
            <w:tcW w:w="526"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0</w:t>
            </w:r>
          </w:p>
        </w:tc>
        <w:tc>
          <w:tcPr>
            <w:tcW w:w="527"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1</w:t>
            </w:r>
          </w:p>
        </w:tc>
        <w:tc>
          <w:tcPr>
            <w:tcW w:w="527"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2</w:t>
            </w:r>
          </w:p>
        </w:tc>
        <w:tc>
          <w:tcPr>
            <w:tcW w:w="526" w:type="dxa"/>
            <w:gridSpan w:val="3"/>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3</w:t>
            </w:r>
          </w:p>
        </w:tc>
        <w:tc>
          <w:tcPr>
            <w:tcW w:w="527"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4</w:t>
            </w:r>
          </w:p>
        </w:tc>
        <w:tc>
          <w:tcPr>
            <w:tcW w:w="527" w:type="dxa"/>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5</w:t>
            </w:r>
          </w:p>
        </w:tc>
        <w:tc>
          <w:tcPr>
            <w:tcW w:w="527" w:type="dxa"/>
            <w:gridSpan w:val="3"/>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6</w:t>
            </w:r>
          </w:p>
        </w:tc>
        <w:tc>
          <w:tcPr>
            <w:tcW w:w="526" w:type="dxa"/>
            <w:gridSpan w:val="3"/>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7</w:t>
            </w:r>
          </w:p>
        </w:tc>
        <w:tc>
          <w:tcPr>
            <w:tcW w:w="527"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8</w:t>
            </w:r>
          </w:p>
        </w:tc>
        <w:tc>
          <w:tcPr>
            <w:tcW w:w="527"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9</w:t>
            </w:r>
          </w:p>
        </w:tc>
        <w:tc>
          <w:tcPr>
            <w:tcW w:w="527" w:type="dxa"/>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10</w:t>
            </w:r>
          </w:p>
        </w:tc>
        <w:tc>
          <w:tcPr>
            <w:tcW w:w="1423" w:type="dxa"/>
            <w:gridSpan w:val="2"/>
            <w:shd w:val="clear" w:color="auto" w:fill="FFFFFF"/>
          </w:tcPr>
          <w:p w:rsidR="00D95BF7" w:rsidRPr="002C0B11" w:rsidRDefault="00D95BF7" w:rsidP="00C51FCB">
            <w:pPr>
              <w:spacing w:before="40" w:after="40"/>
              <w:jc w:val="center"/>
              <w:rPr>
                <w:rFonts w:ascii="Times New Roman" w:hAnsi="Times New Roman"/>
                <w:i/>
                <w:color w:val="000000"/>
                <w:spacing w:val="-2"/>
                <w:sz w:val="22"/>
                <w:szCs w:val="22"/>
              </w:rPr>
            </w:pPr>
            <w:r w:rsidRPr="002C0B11">
              <w:rPr>
                <w:rFonts w:ascii="Times New Roman" w:hAnsi="Times New Roman"/>
                <w:i/>
                <w:color w:val="000000"/>
                <w:spacing w:val="-2"/>
                <w:sz w:val="22"/>
                <w:szCs w:val="22"/>
              </w:rPr>
              <w:t>Łącznie (0-10)</w:t>
            </w:r>
          </w:p>
        </w:tc>
      </w:tr>
      <w:tr w:rsidR="00D95BF7" w:rsidRPr="002C0B11" w:rsidTr="00C51FCB">
        <w:trPr>
          <w:trHeight w:val="319"/>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b/>
                <w:color w:val="000000"/>
                <w:sz w:val="22"/>
                <w:szCs w:val="22"/>
              </w:rPr>
              <w:t>Dochody ogółem</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pacing w:val="-2"/>
                <w:sz w:val="22"/>
                <w:szCs w:val="22"/>
              </w:rPr>
            </w:pPr>
          </w:p>
        </w:tc>
      </w:tr>
      <w:tr w:rsidR="00D95BF7" w:rsidRPr="002C0B11" w:rsidTr="00C51FCB">
        <w:trPr>
          <w:trHeight w:val="319"/>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budżet państwa</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pacing w:val="-2"/>
                <w:sz w:val="22"/>
                <w:szCs w:val="22"/>
              </w:rPr>
            </w:pPr>
          </w:p>
        </w:tc>
      </w:tr>
      <w:tr w:rsidR="00D95BF7" w:rsidRPr="002C0B11" w:rsidTr="00C51FCB">
        <w:trPr>
          <w:trHeight w:val="342"/>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JST</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42"/>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lastRenderedPageBreak/>
              <w:t>pozostałe jednostki (oddzielnie)</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28"/>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b/>
                <w:color w:val="000000"/>
                <w:sz w:val="22"/>
                <w:szCs w:val="22"/>
              </w:rPr>
              <w:t>Wydatki ogółem</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28"/>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budżet państwa</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49"/>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JST</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49"/>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pozostałe jednostki (oddzielnie)</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58"/>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b/>
                <w:color w:val="000000"/>
                <w:sz w:val="22"/>
                <w:szCs w:val="22"/>
              </w:rPr>
              <w:t>Saldo ogółem</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58"/>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budżet państwa</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55"/>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JST</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355"/>
        </w:trPr>
        <w:tc>
          <w:tcPr>
            <w:tcW w:w="3296" w:type="dxa"/>
            <w:gridSpan w:val="4"/>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pozostałe jednostki (oddzielnie)</w:t>
            </w:r>
          </w:p>
        </w:tc>
        <w:tc>
          <w:tcPr>
            <w:tcW w:w="526"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6"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527" w:type="dxa"/>
            <w:shd w:val="clear" w:color="auto" w:fill="FFFFFF"/>
          </w:tcPr>
          <w:p w:rsidR="00D95BF7" w:rsidRPr="002C0B11" w:rsidRDefault="00D95BF7" w:rsidP="00C51FCB">
            <w:pPr>
              <w:rPr>
                <w:rFonts w:ascii="Times New Roman" w:hAnsi="Times New Roman"/>
                <w:color w:val="000000"/>
                <w:sz w:val="22"/>
                <w:szCs w:val="22"/>
              </w:rPr>
            </w:pPr>
          </w:p>
        </w:tc>
        <w:tc>
          <w:tcPr>
            <w:tcW w:w="1432" w:type="dxa"/>
            <w:gridSpan w:val="3"/>
            <w:shd w:val="clear" w:color="auto" w:fill="FFFFFF"/>
          </w:tcPr>
          <w:p w:rsidR="00D95BF7" w:rsidRPr="002C0B11" w:rsidRDefault="00D95BF7" w:rsidP="00C51FCB">
            <w:pPr>
              <w:rPr>
                <w:rFonts w:ascii="Times New Roman" w:hAnsi="Times New Roman"/>
                <w:color w:val="000000"/>
                <w:sz w:val="22"/>
                <w:szCs w:val="22"/>
              </w:rPr>
            </w:pPr>
          </w:p>
        </w:tc>
      </w:tr>
      <w:tr w:rsidR="00D95BF7" w:rsidRPr="002C0B11" w:rsidTr="00C51FCB">
        <w:trPr>
          <w:trHeight w:val="534"/>
        </w:trPr>
        <w:tc>
          <w:tcPr>
            <w:tcW w:w="2472" w:type="dxa"/>
            <w:gridSpan w:val="2"/>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 xml:space="preserve">Źródła finansowania </w:t>
            </w:r>
          </w:p>
        </w:tc>
        <w:tc>
          <w:tcPr>
            <w:tcW w:w="8050" w:type="dxa"/>
            <w:gridSpan w:val="28"/>
            <w:shd w:val="clear" w:color="auto" w:fill="FFFFFF"/>
            <w:vAlign w:val="center"/>
          </w:tcPr>
          <w:p w:rsidR="00D95BF7" w:rsidRPr="002C0B11" w:rsidRDefault="00D95BF7" w:rsidP="00C51FCB">
            <w:pPr>
              <w:jc w:val="both"/>
              <w:rPr>
                <w:rFonts w:ascii="Times New Roman" w:hAnsi="Times New Roman"/>
                <w:color w:val="000000"/>
                <w:sz w:val="22"/>
                <w:szCs w:val="22"/>
              </w:rPr>
            </w:pPr>
          </w:p>
          <w:p w:rsidR="00D95BF7" w:rsidRPr="002C0B11" w:rsidRDefault="00D95BF7" w:rsidP="00C51FCB">
            <w:pPr>
              <w:jc w:val="both"/>
              <w:rPr>
                <w:rFonts w:ascii="Times New Roman" w:hAnsi="Times New Roman"/>
                <w:color w:val="000000"/>
                <w:sz w:val="22"/>
                <w:szCs w:val="22"/>
              </w:rPr>
            </w:pPr>
          </w:p>
        </w:tc>
      </w:tr>
      <w:tr w:rsidR="00D95BF7" w:rsidRPr="002C0B11" w:rsidTr="00C51FCB">
        <w:trPr>
          <w:trHeight w:val="1364"/>
        </w:trPr>
        <w:tc>
          <w:tcPr>
            <w:tcW w:w="2472" w:type="dxa"/>
            <w:gridSpan w:val="2"/>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Dodatkowe informacje, w tym wskazanie źródeł danych i przyjętych do obliczeń założeń</w:t>
            </w:r>
          </w:p>
        </w:tc>
        <w:tc>
          <w:tcPr>
            <w:tcW w:w="8050" w:type="dxa"/>
            <w:gridSpan w:val="28"/>
            <w:shd w:val="clear" w:color="auto" w:fill="FFFFFF"/>
          </w:tcPr>
          <w:p w:rsidR="00D95BF7" w:rsidRPr="002C0B11" w:rsidRDefault="00D95BF7" w:rsidP="00C51FCB">
            <w:pPr>
              <w:jc w:val="both"/>
              <w:rPr>
                <w:rFonts w:ascii="Times New Roman" w:hAnsi="Times New Roman"/>
                <w:color w:val="000000"/>
                <w:sz w:val="22"/>
                <w:szCs w:val="22"/>
              </w:rPr>
            </w:pPr>
            <w:r w:rsidRPr="002C0B11">
              <w:rPr>
                <w:rFonts w:ascii="Times New Roman" w:hAnsi="Times New Roman"/>
                <w:color w:val="000000"/>
                <w:sz w:val="22"/>
                <w:szCs w:val="22"/>
              </w:rPr>
              <w:t>Brak wpływu na sektor finansów publicznych.</w:t>
            </w:r>
          </w:p>
        </w:tc>
      </w:tr>
      <w:tr w:rsidR="00D95BF7" w:rsidRPr="002C0B11" w:rsidTr="00C51FCB">
        <w:trPr>
          <w:trHeight w:val="343"/>
        </w:trPr>
        <w:tc>
          <w:tcPr>
            <w:tcW w:w="10522" w:type="dxa"/>
            <w:gridSpan w:val="30"/>
            <w:shd w:val="clear" w:color="auto" w:fill="99CCFF"/>
          </w:tcPr>
          <w:p w:rsidR="00D95BF7" w:rsidRPr="002C0B11" w:rsidRDefault="00D95BF7" w:rsidP="00D95BF7">
            <w:pPr>
              <w:widowControl/>
              <w:numPr>
                <w:ilvl w:val="0"/>
                <w:numId w:val="3"/>
              </w:numPr>
              <w:suppressAutoHyphens w:val="0"/>
              <w:autoSpaceDE/>
              <w:autoSpaceDN/>
              <w:spacing w:before="120" w:after="120"/>
              <w:jc w:val="both"/>
              <w:textAlignment w:val="auto"/>
              <w:rPr>
                <w:rFonts w:ascii="Times New Roman" w:hAnsi="Times New Roman"/>
                <w:b/>
                <w:color w:val="000000"/>
                <w:spacing w:val="-2"/>
                <w:sz w:val="22"/>
                <w:szCs w:val="22"/>
              </w:rPr>
            </w:pPr>
            <w:r w:rsidRPr="002C0B11">
              <w:rPr>
                <w:rFonts w:ascii="Times New Roman" w:hAnsi="Times New Roman"/>
                <w:b/>
                <w:color w:val="000000"/>
                <w:spacing w:val="-2"/>
                <w:sz w:val="22"/>
                <w:szCs w:val="22"/>
              </w:rPr>
              <w:t xml:space="preserve">Wpływ na </w:t>
            </w:r>
            <w:r w:rsidRPr="002C0B11">
              <w:rPr>
                <w:rFonts w:ascii="Times New Roman" w:hAnsi="Times New Roman"/>
                <w:b/>
                <w:color w:val="000000"/>
                <w:sz w:val="22"/>
                <w:szCs w:val="22"/>
              </w:rPr>
              <w:t xml:space="preserve">konkurencyjność gospodarki i przedsiębiorczość, w tym funkcjonowanie przedsiębiorców oraz na rodzinę, obywateli i gospodarstwa domowe </w:t>
            </w:r>
          </w:p>
        </w:tc>
      </w:tr>
      <w:tr w:rsidR="00D95BF7" w:rsidRPr="002C0B11" w:rsidTr="00C51FCB">
        <w:trPr>
          <w:trHeight w:val="141"/>
        </w:trPr>
        <w:tc>
          <w:tcPr>
            <w:tcW w:w="10522" w:type="dxa"/>
            <w:gridSpan w:val="30"/>
            <w:shd w:val="clear" w:color="auto" w:fill="FFFFFF"/>
          </w:tcPr>
          <w:p w:rsidR="00D95BF7" w:rsidRPr="002C0B11" w:rsidRDefault="00D95BF7" w:rsidP="00C51FCB">
            <w:pPr>
              <w:jc w:val="center"/>
              <w:rPr>
                <w:rFonts w:ascii="Times New Roman" w:hAnsi="Times New Roman"/>
                <w:color w:val="000000"/>
                <w:spacing w:val="-2"/>
                <w:sz w:val="22"/>
                <w:szCs w:val="22"/>
              </w:rPr>
            </w:pPr>
            <w:r w:rsidRPr="002C0B11">
              <w:rPr>
                <w:rFonts w:ascii="Times New Roman" w:hAnsi="Times New Roman"/>
                <w:color w:val="000000"/>
                <w:spacing w:val="-2"/>
                <w:sz w:val="22"/>
                <w:szCs w:val="22"/>
              </w:rPr>
              <w:t>Skutki</w:t>
            </w:r>
          </w:p>
        </w:tc>
      </w:tr>
      <w:tr w:rsidR="00D95BF7" w:rsidRPr="002C0B11" w:rsidTr="00C51FCB">
        <w:trPr>
          <w:trHeight w:val="141"/>
        </w:trPr>
        <w:tc>
          <w:tcPr>
            <w:tcW w:w="3996" w:type="dxa"/>
            <w:gridSpan w:val="7"/>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Czas w latach od wejścia w życie zmian</w:t>
            </w:r>
          </w:p>
        </w:tc>
        <w:tc>
          <w:tcPr>
            <w:tcW w:w="867" w:type="dxa"/>
            <w:gridSpan w:val="2"/>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0</w:t>
            </w:r>
          </w:p>
        </w:tc>
        <w:tc>
          <w:tcPr>
            <w:tcW w:w="868" w:type="dxa"/>
            <w:gridSpan w:val="5"/>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1</w:t>
            </w:r>
          </w:p>
        </w:tc>
        <w:tc>
          <w:tcPr>
            <w:tcW w:w="868" w:type="dxa"/>
            <w:gridSpan w:val="4"/>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2</w:t>
            </w:r>
          </w:p>
        </w:tc>
        <w:tc>
          <w:tcPr>
            <w:tcW w:w="867" w:type="dxa"/>
            <w:gridSpan w:val="3"/>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3</w:t>
            </w:r>
          </w:p>
        </w:tc>
        <w:tc>
          <w:tcPr>
            <w:tcW w:w="868" w:type="dxa"/>
            <w:gridSpan w:val="4"/>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5</w:t>
            </w:r>
          </w:p>
        </w:tc>
        <w:tc>
          <w:tcPr>
            <w:tcW w:w="868" w:type="dxa"/>
            <w:gridSpan w:val="3"/>
            <w:shd w:val="clear" w:color="auto" w:fill="FFFFFF"/>
          </w:tcPr>
          <w:p w:rsidR="00D95BF7" w:rsidRPr="002C0B11" w:rsidRDefault="00D95BF7" w:rsidP="00C51FCB">
            <w:pPr>
              <w:jc w:val="center"/>
              <w:rPr>
                <w:rFonts w:ascii="Times New Roman" w:hAnsi="Times New Roman"/>
                <w:color w:val="000000"/>
                <w:sz w:val="22"/>
                <w:szCs w:val="22"/>
              </w:rPr>
            </w:pPr>
            <w:r w:rsidRPr="002C0B11">
              <w:rPr>
                <w:rFonts w:ascii="Times New Roman" w:hAnsi="Times New Roman"/>
                <w:color w:val="000000"/>
                <w:sz w:val="22"/>
                <w:szCs w:val="22"/>
              </w:rPr>
              <w:t>10</w:t>
            </w:r>
          </w:p>
        </w:tc>
        <w:tc>
          <w:tcPr>
            <w:tcW w:w="1320" w:type="dxa"/>
            <w:gridSpan w:val="2"/>
            <w:shd w:val="clear" w:color="auto" w:fill="FFFFFF"/>
          </w:tcPr>
          <w:p w:rsidR="00D95BF7" w:rsidRPr="002C0B11" w:rsidRDefault="00D95BF7" w:rsidP="00C51FCB">
            <w:pPr>
              <w:jc w:val="center"/>
              <w:rPr>
                <w:rFonts w:ascii="Times New Roman" w:hAnsi="Times New Roman"/>
                <w:i/>
                <w:color w:val="000000"/>
                <w:spacing w:val="-2"/>
                <w:sz w:val="22"/>
                <w:szCs w:val="22"/>
              </w:rPr>
            </w:pPr>
            <w:r w:rsidRPr="002C0B11">
              <w:rPr>
                <w:rFonts w:ascii="Times New Roman" w:hAnsi="Times New Roman"/>
                <w:i/>
                <w:color w:val="000000"/>
                <w:spacing w:val="-2"/>
                <w:sz w:val="22"/>
                <w:szCs w:val="22"/>
              </w:rPr>
              <w:t>Łącznie(0-10)</w:t>
            </w:r>
          </w:p>
        </w:tc>
      </w:tr>
      <w:tr w:rsidR="00D95BF7" w:rsidRPr="002C0B11" w:rsidTr="00C51FCB">
        <w:trPr>
          <w:trHeight w:val="141"/>
        </w:trPr>
        <w:tc>
          <w:tcPr>
            <w:tcW w:w="1873" w:type="dxa"/>
            <w:vMerge w:val="restart"/>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W ujęciu pieniężnym</w:t>
            </w:r>
          </w:p>
          <w:p w:rsidR="00D95BF7" w:rsidRPr="002C0B11" w:rsidRDefault="00D95BF7" w:rsidP="00C51FCB">
            <w:pPr>
              <w:rPr>
                <w:rFonts w:ascii="Times New Roman" w:hAnsi="Times New Roman"/>
                <w:spacing w:val="-2"/>
                <w:sz w:val="22"/>
                <w:szCs w:val="22"/>
              </w:rPr>
            </w:pPr>
            <w:r w:rsidRPr="002C0B11">
              <w:rPr>
                <w:rFonts w:ascii="Times New Roman" w:hAnsi="Times New Roman"/>
                <w:spacing w:val="-2"/>
                <w:sz w:val="22"/>
                <w:szCs w:val="22"/>
              </w:rPr>
              <w:t xml:space="preserve">(w mln zł, </w:t>
            </w:r>
          </w:p>
          <w:p w:rsidR="00D95BF7" w:rsidRPr="002C0B11" w:rsidRDefault="00D95BF7" w:rsidP="00C51FCB">
            <w:pPr>
              <w:rPr>
                <w:rFonts w:ascii="Times New Roman" w:hAnsi="Times New Roman"/>
                <w:color w:val="000000"/>
                <w:sz w:val="22"/>
                <w:szCs w:val="22"/>
              </w:rPr>
            </w:pPr>
            <w:r w:rsidRPr="002C0B11">
              <w:rPr>
                <w:rFonts w:ascii="Times New Roman" w:hAnsi="Times New Roman"/>
                <w:spacing w:val="-2"/>
                <w:sz w:val="22"/>
                <w:szCs w:val="22"/>
              </w:rPr>
              <w:t>ceny stałe z …… r.)</w:t>
            </w:r>
          </w:p>
        </w:tc>
        <w:tc>
          <w:tcPr>
            <w:tcW w:w="2123" w:type="dxa"/>
            <w:gridSpan w:val="6"/>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duże przedsiębiorstwa</w:t>
            </w:r>
          </w:p>
        </w:tc>
        <w:tc>
          <w:tcPr>
            <w:tcW w:w="86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5"/>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4"/>
            <w:shd w:val="clear" w:color="auto" w:fill="FFFFFF"/>
          </w:tcPr>
          <w:p w:rsidR="00D95BF7" w:rsidRPr="002C0B11" w:rsidRDefault="00D95BF7" w:rsidP="00C51FCB">
            <w:pPr>
              <w:rPr>
                <w:rFonts w:ascii="Times New Roman" w:hAnsi="Times New Roman"/>
                <w:color w:val="000000"/>
                <w:sz w:val="22"/>
                <w:szCs w:val="22"/>
              </w:rPr>
            </w:pPr>
          </w:p>
        </w:tc>
        <w:tc>
          <w:tcPr>
            <w:tcW w:w="86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4"/>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1320" w:type="dxa"/>
            <w:gridSpan w:val="2"/>
            <w:shd w:val="clear" w:color="auto" w:fill="FFFFFF"/>
          </w:tcPr>
          <w:p w:rsidR="00D95BF7" w:rsidRPr="002C0B11" w:rsidRDefault="00D95BF7" w:rsidP="00C51FCB">
            <w:pPr>
              <w:rPr>
                <w:rFonts w:ascii="Times New Roman" w:hAnsi="Times New Roman"/>
                <w:color w:val="000000"/>
                <w:spacing w:val="-2"/>
                <w:sz w:val="22"/>
                <w:szCs w:val="22"/>
              </w:rPr>
            </w:pPr>
          </w:p>
        </w:tc>
      </w:tr>
      <w:tr w:rsidR="00D95BF7" w:rsidRPr="002C0B11" w:rsidTr="00C51FCB">
        <w:trPr>
          <w:trHeight w:val="141"/>
        </w:trPr>
        <w:tc>
          <w:tcPr>
            <w:tcW w:w="1873" w:type="dxa"/>
            <w:vMerge/>
            <w:shd w:val="clear" w:color="auto" w:fill="FFFFFF"/>
          </w:tcPr>
          <w:p w:rsidR="00D95BF7" w:rsidRPr="002C0B11" w:rsidRDefault="00D95BF7" w:rsidP="00C51FCB">
            <w:pPr>
              <w:rPr>
                <w:rFonts w:ascii="Times New Roman" w:hAnsi="Times New Roman"/>
                <w:color w:val="000000"/>
                <w:sz w:val="22"/>
                <w:szCs w:val="22"/>
              </w:rPr>
            </w:pPr>
          </w:p>
        </w:tc>
        <w:tc>
          <w:tcPr>
            <w:tcW w:w="2123" w:type="dxa"/>
            <w:gridSpan w:val="6"/>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sektor mikro-, małych i średnich przedsiębiorstw</w:t>
            </w:r>
          </w:p>
        </w:tc>
        <w:tc>
          <w:tcPr>
            <w:tcW w:w="86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5"/>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4"/>
            <w:shd w:val="clear" w:color="auto" w:fill="FFFFFF"/>
          </w:tcPr>
          <w:p w:rsidR="00D95BF7" w:rsidRPr="002C0B11" w:rsidRDefault="00D95BF7" w:rsidP="00C51FCB">
            <w:pPr>
              <w:rPr>
                <w:rFonts w:ascii="Times New Roman" w:hAnsi="Times New Roman"/>
                <w:color w:val="000000"/>
                <w:sz w:val="22"/>
                <w:szCs w:val="22"/>
              </w:rPr>
            </w:pPr>
          </w:p>
        </w:tc>
        <w:tc>
          <w:tcPr>
            <w:tcW w:w="86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4"/>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1320" w:type="dxa"/>
            <w:gridSpan w:val="2"/>
            <w:shd w:val="clear" w:color="auto" w:fill="FFFFFF"/>
          </w:tcPr>
          <w:p w:rsidR="00D95BF7" w:rsidRPr="002C0B11" w:rsidRDefault="00D95BF7" w:rsidP="00C51FCB">
            <w:pPr>
              <w:rPr>
                <w:rFonts w:ascii="Times New Roman" w:hAnsi="Times New Roman"/>
                <w:color w:val="000000"/>
                <w:spacing w:val="-2"/>
                <w:sz w:val="22"/>
                <w:szCs w:val="22"/>
              </w:rPr>
            </w:pPr>
          </w:p>
        </w:tc>
      </w:tr>
      <w:tr w:rsidR="00D95BF7" w:rsidRPr="002C0B11" w:rsidTr="00C51FCB">
        <w:trPr>
          <w:trHeight w:val="141"/>
        </w:trPr>
        <w:tc>
          <w:tcPr>
            <w:tcW w:w="1873" w:type="dxa"/>
            <w:vMerge/>
            <w:shd w:val="clear" w:color="auto" w:fill="FFFFFF"/>
          </w:tcPr>
          <w:p w:rsidR="00D95BF7" w:rsidRPr="002C0B11" w:rsidRDefault="00D95BF7" w:rsidP="00C51FCB">
            <w:pPr>
              <w:rPr>
                <w:rFonts w:ascii="Times New Roman" w:hAnsi="Times New Roman"/>
                <w:color w:val="000000"/>
                <w:sz w:val="22"/>
                <w:szCs w:val="22"/>
              </w:rPr>
            </w:pPr>
          </w:p>
        </w:tc>
        <w:tc>
          <w:tcPr>
            <w:tcW w:w="2123" w:type="dxa"/>
            <w:gridSpan w:val="6"/>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sz w:val="22"/>
                <w:szCs w:val="22"/>
              </w:rPr>
              <w:t>rodzina, obywatele oraz gospodarstwa domowe</w:t>
            </w:r>
          </w:p>
        </w:tc>
        <w:tc>
          <w:tcPr>
            <w:tcW w:w="867" w:type="dxa"/>
            <w:gridSpan w:val="2"/>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5"/>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4"/>
            <w:shd w:val="clear" w:color="auto" w:fill="FFFFFF"/>
          </w:tcPr>
          <w:p w:rsidR="00D95BF7" w:rsidRPr="002C0B11" w:rsidRDefault="00D95BF7" w:rsidP="00C51FCB">
            <w:pPr>
              <w:rPr>
                <w:rFonts w:ascii="Times New Roman" w:hAnsi="Times New Roman"/>
                <w:color w:val="000000"/>
                <w:sz w:val="22"/>
                <w:szCs w:val="22"/>
              </w:rPr>
            </w:pPr>
          </w:p>
        </w:tc>
        <w:tc>
          <w:tcPr>
            <w:tcW w:w="867"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4"/>
            <w:shd w:val="clear" w:color="auto" w:fill="FFFFFF"/>
          </w:tcPr>
          <w:p w:rsidR="00D95BF7" w:rsidRPr="002C0B11" w:rsidRDefault="00D95BF7" w:rsidP="00C51FCB">
            <w:pPr>
              <w:rPr>
                <w:rFonts w:ascii="Times New Roman" w:hAnsi="Times New Roman"/>
                <w:color w:val="000000"/>
                <w:sz w:val="22"/>
                <w:szCs w:val="22"/>
              </w:rPr>
            </w:pPr>
          </w:p>
        </w:tc>
        <w:tc>
          <w:tcPr>
            <w:tcW w:w="868" w:type="dxa"/>
            <w:gridSpan w:val="3"/>
            <w:shd w:val="clear" w:color="auto" w:fill="FFFFFF"/>
          </w:tcPr>
          <w:p w:rsidR="00D95BF7" w:rsidRPr="002C0B11" w:rsidRDefault="00D95BF7" w:rsidP="00C51FCB">
            <w:pPr>
              <w:rPr>
                <w:rFonts w:ascii="Times New Roman" w:hAnsi="Times New Roman"/>
                <w:color w:val="000000"/>
                <w:sz w:val="22"/>
                <w:szCs w:val="22"/>
              </w:rPr>
            </w:pPr>
          </w:p>
        </w:tc>
        <w:tc>
          <w:tcPr>
            <w:tcW w:w="1320" w:type="dxa"/>
            <w:gridSpan w:val="2"/>
            <w:shd w:val="clear" w:color="auto" w:fill="FFFFFF"/>
          </w:tcPr>
          <w:p w:rsidR="00D95BF7" w:rsidRPr="002C0B11" w:rsidRDefault="00D95BF7" w:rsidP="00C51FCB">
            <w:pPr>
              <w:rPr>
                <w:rFonts w:ascii="Times New Roman" w:hAnsi="Times New Roman"/>
                <w:color w:val="000000"/>
                <w:spacing w:val="-2"/>
                <w:sz w:val="22"/>
                <w:szCs w:val="22"/>
              </w:rPr>
            </w:pPr>
          </w:p>
        </w:tc>
      </w:tr>
      <w:tr w:rsidR="00D95BF7" w:rsidRPr="002C0B11" w:rsidTr="00C51FCB">
        <w:trPr>
          <w:trHeight w:val="141"/>
        </w:trPr>
        <w:tc>
          <w:tcPr>
            <w:tcW w:w="1873" w:type="dxa"/>
            <w:vMerge w:val="restart"/>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W ujęciu niepieniężnym</w:t>
            </w:r>
          </w:p>
        </w:tc>
        <w:tc>
          <w:tcPr>
            <w:tcW w:w="2123" w:type="dxa"/>
            <w:gridSpan w:val="6"/>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duże przedsiębiorstwa</w:t>
            </w:r>
          </w:p>
        </w:tc>
        <w:tc>
          <w:tcPr>
            <w:tcW w:w="6526" w:type="dxa"/>
            <w:gridSpan w:val="23"/>
            <w:shd w:val="clear" w:color="auto" w:fill="FFFFFF"/>
          </w:tcPr>
          <w:p w:rsidR="00D95BF7" w:rsidRPr="002C0B11" w:rsidRDefault="00D95BF7" w:rsidP="00C51FCB">
            <w:pPr>
              <w:ind w:left="720"/>
              <w:jc w:val="both"/>
              <w:rPr>
                <w:rFonts w:ascii="Times New Roman" w:hAnsi="Times New Roman"/>
                <w:b/>
                <w:bCs/>
                <w:color w:val="000000"/>
                <w:spacing w:val="-2"/>
                <w:sz w:val="22"/>
                <w:szCs w:val="22"/>
              </w:rPr>
            </w:pPr>
          </w:p>
        </w:tc>
      </w:tr>
      <w:tr w:rsidR="00D95BF7" w:rsidRPr="002C0B11" w:rsidTr="00C51FCB">
        <w:trPr>
          <w:trHeight w:val="141"/>
        </w:trPr>
        <w:tc>
          <w:tcPr>
            <w:tcW w:w="1873" w:type="dxa"/>
            <w:vMerge/>
            <w:shd w:val="clear" w:color="auto" w:fill="FFFFFF"/>
          </w:tcPr>
          <w:p w:rsidR="00D95BF7" w:rsidRPr="002C0B11" w:rsidRDefault="00D95BF7" w:rsidP="00C51FCB">
            <w:pPr>
              <w:rPr>
                <w:rFonts w:ascii="Times New Roman" w:hAnsi="Times New Roman"/>
                <w:color w:val="000000"/>
                <w:sz w:val="22"/>
                <w:szCs w:val="22"/>
              </w:rPr>
            </w:pPr>
          </w:p>
        </w:tc>
        <w:tc>
          <w:tcPr>
            <w:tcW w:w="2123" w:type="dxa"/>
            <w:gridSpan w:val="6"/>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sektor mikro-, małych i średnich przedsiębiorstw</w:t>
            </w:r>
          </w:p>
        </w:tc>
        <w:tc>
          <w:tcPr>
            <w:tcW w:w="6526" w:type="dxa"/>
            <w:gridSpan w:val="23"/>
            <w:shd w:val="clear" w:color="auto" w:fill="FFFFFF"/>
          </w:tcPr>
          <w:p w:rsidR="00D95BF7" w:rsidRPr="002C0B11" w:rsidRDefault="00D95BF7" w:rsidP="00C51FCB">
            <w:pPr>
              <w:ind w:left="720"/>
              <w:jc w:val="both"/>
              <w:rPr>
                <w:rFonts w:ascii="Times New Roman" w:hAnsi="Times New Roman"/>
                <w:b/>
                <w:bCs/>
                <w:color w:val="000000"/>
                <w:spacing w:val="-2"/>
                <w:sz w:val="22"/>
                <w:szCs w:val="22"/>
              </w:rPr>
            </w:pPr>
          </w:p>
        </w:tc>
      </w:tr>
      <w:tr w:rsidR="00D95BF7" w:rsidRPr="002C0B11" w:rsidTr="00C51FCB">
        <w:trPr>
          <w:trHeight w:val="594"/>
        </w:trPr>
        <w:tc>
          <w:tcPr>
            <w:tcW w:w="1873" w:type="dxa"/>
            <w:vMerge/>
            <w:shd w:val="clear" w:color="auto" w:fill="FFFFFF"/>
          </w:tcPr>
          <w:p w:rsidR="00D95BF7" w:rsidRPr="002C0B11" w:rsidRDefault="00D95BF7" w:rsidP="00C51FCB">
            <w:pPr>
              <w:rPr>
                <w:rFonts w:ascii="Times New Roman" w:hAnsi="Times New Roman"/>
                <w:color w:val="000000"/>
                <w:sz w:val="22"/>
                <w:szCs w:val="22"/>
              </w:rPr>
            </w:pPr>
          </w:p>
        </w:tc>
        <w:tc>
          <w:tcPr>
            <w:tcW w:w="2123" w:type="dxa"/>
            <w:gridSpan w:val="6"/>
            <w:shd w:val="clear" w:color="auto" w:fill="FFFFFF"/>
          </w:tcPr>
          <w:p w:rsidR="00D95BF7" w:rsidRPr="002C0B11" w:rsidRDefault="00D95BF7" w:rsidP="00C51FCB">
            <w:pPr>
              <w:tabs>
                <w:tab w:val="right" w:pos="1936"/>
              </w:tabs>
              <w:rPr>
                <w:rFonts w:ascii="Times New Roman" w:hAnsi="Times New Roman"/>
                <w:color w:val="000000"/>
                <w:sz w:val="22"/>
                <w:szCs w:val="22"/>
              </w:rPr>
            </w:pPr>
            <w:r w:rsidRPr="002C0B11">
              <w:rPr>
                <w:rFonts w:ascii="Times New Roman" w:hAnsi="Times New Roman"/>
                <w:sz w:val="22"/>
                <w:szCs w:val="22"/>
              </w:rPr>
              <w:t>rodzina, obywatele oraz gospodarstwa domowe</w:t>
            </w:r>
          </w:p>
        </w:tc>
        <w:tc>
          <w:tcPr>
            <w:tcW w:w="6526" w:type="dxa"/>
            <w:gridSpan w:val="23"/>
            <w:shd w:val="clear" w:color="auto" w:fill="FFFFFF"/>
          </w:tcPr>
          <w:p w:rsidR="00D95BF7" w:rsidRPr="002C0B11" w:rsidRDefault="00D95BF7" w:rsidP="00C51FCB">
            <w:pPr>
              <w:ind w:left="720"/>
              <w:rPr>
                <w:rFonts w:ascii="Times New Roman" w:hAnsi="Times New Roman"/>
                <w:color w:val="000000"/>
                <w:spacing w:val="-2"/>
                <w:sz w:val="22"/>
                <w:szCs w:val="22"/>
              </w:rPr>
            </w:pPr>
          </w:p>
        </w:tc>
      </w:tr>
      <w:tr w:rsidR="00D95BF7" w:rsidRPr="002C0B11" w:rsidTr="00C51FCB">
        <w:trPr>
          <w:trHeight w:val="141"/>
        </w:trPr>
        <w:tc>
          <w:tcPr>
            <w:tcW w:w="1873" w:type="dxa"/>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Niemierzalne</w:t>
            </w:r>
          </w:p>
        </w:tc>
        <w:tc>
          <w:tcPr>
            <w:tcW w:w="2123" w:type="dxa"/>
            <w:gridSpan w:val="6"/>
            <w:shd w:val="clear" w:color="auto" w:fill="FFFFFF"/>
          </w:tcPr>
          <w:p w:rsidR="00D95BF7" w:rsidRPr="002C0B11" w:rsidRDefault="00D95BF7" w:rsidP="00C51FCB">
            <w:pPr>
              <w:rPr>
                <w:rFonts w:ascii="Times New Roman" w:hAnsi="Times New Roman"/>
                <w:color w:val="000000"/>
                <w:sz w:val="22"/>
                <w:szCs w:val="22"/>
              </w:rPr>
            </w:pPr>
          </w:p>
        </w:tc>
        <w:tc>
          <w:tcPr>
            <w:tcW w:w="6526" w:type="dxa"/>
            <w:gridSpan w:val="23"/>
            <w:shd w:val="clear" w:color="auto" w:fill="FFFFFF"/>
          </w:tcPr>
          <w:p w:rsidR="00D95BF7" w:rsidRPr="002C0B11" w:rsidRDefault="00D95BF7" w:rsidP="00C51FCB">
            <w:pPr>
              <w:jc w:val="both"/>
              <w:rPr>
                <w:rFonts w:ascii="Times New Roman" w:hAnsi="Times New Roman"/>
                <w:color w:val="000000"/>
                <w:spacing w:val="-2"/>
                <w:sz w:val="22"/>
                <w:szCs w:val="22"/>
              </w:rPr>
            </w:pPr>
            <w:r w:rsidRPr="002C0B11">
              <w:rPr>
                <w:rFonts w:ascii="Times New Roman" w:hAnsi="Times New Roman"/>
                <w:color w:val="000000"/>
                <w:spacing w:val="-2"/>
                <w:sz w:val="22"/>
                <w:szCs w:val="22"/>
              </w:rPr>
              <w:t xml:space="preserve">Brak. </w:t>
            </w:r>
          </w:p>
        </w:tc>
      </w:tr>
      <w:tr w:rsidR="00D95BF7" w:rsidRPr="002C0B11" w:rsidTr="00C51FCB">
        <w:trPr>
          <w:trHeight w:val="1399"/>
        </w:trPr>
        <w:tc>
          <w:tcPr>
            <w:tcW w:w="2472" w:type="dxa"/>
            <w:gridSpan w:val="2"/>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 xml:space="preserve">Dodatkowe informacje, w tym wskazanie źródeł danych i przyjętych do obliczeń założeń </w:t>
            </w:r>
          </w:p>
        </w:tc>
        <w:tc>
          <w:tcPr>
            <w:tcW w:w="8050" w:type="dxa"/>
            <w:gridSpan w:val="28"/>
            <w:shd w:val="clear" w:color="auto" w:fill="FFFFFF"/>
            <w:vAlign w:val="center"/>
          </w:tcPr>
          <w:p w:rsidR="00D95BF7" w:rsidRPr="002C0B11" w:rsidRDefault="00D95BF7" w:rsidP="00C51FCB">
            <w:pPr>
              <w:jc w:val="both"/>
              <w:rPr>
                <w:rFonts w:ascii="Times New Roman" w:hAnsi="Times New Roman"/>
                <w:color w:val="000000"/>
                <w:sz w:val="22"/>
                <w:szCs w:val="22"/>
              </w:rPr>
            </w:pPr>
          </w:p>
        </w:tc>
      </w:tr>
      <w:tr w:rsidR="00D95BF7" w:rsidRPr="002C0B11" w:rsidTr="00C51FCB">
        <w:trPr>
          <w:trHeight w:val="340"/>
        </w:trPr>
        <w:tc>
          <w:tcPr>
            <w:tcW w:w="10522" w:type="dxa"/>
            <w:gridSpan w:val="30"/>
            <w:shd w:val="clear" w:color="auto" w:fill="99CCFF"/>
            <w:vAlign w:val="center"/>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color w:val="000000"/>
                <w:sz w:val="22"/>
                <w:szCs w:val="22"/>
              </w:rPr>
              <w:t>Zmiana obciążeń regulacyjnych (w tym obowiązków informacyjnych) wynikających z projektu</w:t>
            </w:r>
          </w:p>
        </w:tc>
      </w:tr>
      <w:tr w:rsidR="00D95BF7" w:rsidRPr="002C0B11" w:rsidTr="00C51FCB">
        <w:trPr>
          <w:trHeight w:val="150"/>
        </w:trPr>
        <w:tc>
          <w:tcPr>
            <w:tcW w:w="10522" w:type="dxa"/>
            <w:gridSpan w:val="30"/>
            <w:shd w:val="clear" w:color="auto" w:fill="FFFFFF"/>
          </w:tcPr>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nie dotyczy</w:t>
            </w:r>
          </w:p>
        </w:tc>
      </w:tr>
      <w:tr w:rsidR="00D95BF7" w:rsidRPr="002C0B11" w:rsidTr="00C51FCB">
        <w:trPr>
          <w:trHeight w:val="943"/>
        </w:trPr>
        <w:tc>
          <w:tcPr>
            <w:tcW w:w="5128" w:type="dxa"/>
            <w:gridSpan w:val="12"/>
            <w:shd w:val="clear" w:color="auto" w:fill="FFFFFF"/>
          </w:tcPr>
          <w:p w:rsidR="00D95BF7" w:rsidRPr="002C0B11" w:rsidRDefault="00D95BF7" w:rsidP="00C51FCB">
            <w:pPr>
              <w:rPr>
                <w:rFonts w:ascii="Times New Roman" w:hAnsi="Times New Roman"/>
                <w:color w:val="000000"/>
                <w:spacing w:val="-2"/>
                <w:sz w:val="22"/>
                <w:szCs w:val="22"/>
              </w:rPr>
            </w:pPr>
            <w:r w:rsidRPr="002C0B11">
              <w:rPr>
                <w:rFonts w:ascii="Times New Roman" w:hAnsi="Times New Roman"/>
                <w:color w:val="000000"/>
                <w:spacing w:val="-2"/>
                <w:sz w:val="22"/>
                <w:szCs w:val="22"/>
              </w:rPr>
              <w:lastRenderedPageBreak/>
              <w:t>Wprowadzane są obciążenia poza bezwzględnie wymaganymi przez UE</w:t>
            </w:r>
            <w:r w:rsidRPr="002C0B11">
              <w:rPr>
                <w:rFonts w:ascii="Times New Roman" w:hAnsi="Times New Roman"/>
                <w:color w:val="000000"/>
                <w:sz w:val="22"/>
                <w:szCs w:val="22"/>
              </w:rPr>
              <w:t>(szczegóły w odwróconej tabeli zgodności).</w:t>
            </w:r>
          </w:p>
        </w:tc>
        <w:tc>
          <w:tcPr>
            <w:tcW w:w="5394" w:type="dxa"/>
            <w:gridSpan w:val="18"/>
            <w:shd w:val="clear" w:color="auto" w:fill="FFFFFF"/>
          </w:tcPr>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 xml:space="preserve"> tak</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
                  <w:enabled/>
                  <w:calcOnExit w:val="0"/>
                  <w:checkBox>
                    <w:sizeAuto/>
                    <w:default w:val="1"/>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 xml:space="preserve"> nie</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 xml:space="preserve"> nie dotyczy</w:t>
            </w:r>
          </w:p>
        </w:tc>
      </w:tr>
      <w:tr w:rsidR="00D95BF7" w:rsidRPr="002C0B11" w:rsidTr="00C51FCB">
        <w:trPr>
          <w:trHeight w:val="1241"/>
        </w:trPr>
        <w:tc>
          <w:tcPr>
            <w:tcW w:w="5128" w:type="dxa"/>
            <w:gridSpan w:val="12"/>
            <w:shd w:val="clear" w:color="auto" w:fill="FFFFFF"/>
          </w:tcPr>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zmniejszenie liczby dokumentów</w:t>
            </w: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zmniejszenie liczby procedur</w:t>
            </w: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skrócenie czasu na załatwienie sprawy</w:t>
            </w:r>
          </w:p>
          <w:p w:rsidR="00D95BF7" w:rsidRPr="002C0B11" w:rsidRDefault="007603DC" w:rsidP="00C51FCB">
            <w:pPr>
              <w:rPr>
                <w:rFonts w:ascii="Times New Roman" w:hAnsi="Times New Roman"/>
                <w:b/>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inne:</w:t>
            </w:r>
            <w:r w:rsidRPr="002C0B11">
              <w:rPr>
                <w:rFonts w:ascii="Times New Roman" w:hAnsi="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95BF7" w:rsidRPr="002C0B11">
              <w:rPr>
                <w:rFonts w:ascii="Times New Roman" w:hAnsi="Times New Roman"/>
                <w:color w:val="000000"/>
                <w:sz w:val="22"/>
                <w:szCs w:val="22"/>
              </w:rPr>
              <w:instrText xml:space="preserve"> FORMTEXT </w:instrText>
            </w:r>
            <w:r w:rsidRPr="002C0B11">
              <w:rPr>
                <w:rFonts w:ascii="Times New Roman" w:hAnsi="Times New Roman"/>
                <w:color w:val="000000"/>
                <w:sz w:val="22"/>
                <w:szCs w:val="22"/>
              </w:rPr>
            </w:r>
            <w:r w:rsidRPr="002C0B11">
              <w:rPr>
                <w:rFonts w:ascii="Times New Roman" w:hAnsi="Times New Roman"/>
                <w:color w:val="000000"/>
                <w:sz w:val="22"/>
                <w:szCs w:val="22"/>
              </w:rPr>
              <w:fldChar w:fldCharType="separate"/>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Pr="002C0B11">
              <w:rPr>
                <w:rFonts w:ascii="Times New Roman" w:hAnsi="Times New Roman"/>
                <w:color w:val="000000"/>
                <w:sz w:val="22"/>
                <w:szCs w:val="22"/>
              </w:rPr>
              <w:fldChar w:fldCharType="end"/>
            </w:r>
          </w:p>
        </w:tc>
        <w:tc>
          <w:tcPr>
            <w:tcW w:w="5394" w:type="dxa"/>
            <w:gridSpan w:val="18"/>
            <w:shd w:val="clear" w:color="auto" w:fill="FFFFFF"/>
          </w:tcPr>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zwiększenie liczby dokumentów</w:t>
            </w: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zwiększenie liczby procedur</w:t>
            </w: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wydłużenie czasu na załatwienie sprawy</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inne:</w:t>
            </w:r>
            <w:r w:rsidRPr="002C0B11">
              <w:rPr>
                <w:rFonts w:ascii="Times New Roman" w:hAnsi="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95BF7" w:rsidRPr="002C0B11">
              <w:rPr>
                <w:rFonts w:ascii="Times New Roman" w:hAnsi="Times New Roman"/>
                <w:color w:val="000000"/>
                <w:sz w:val="22"/>
                <w:szCs w:val="22"/>
              </w:rPr>
              <w:instrText xml:space="preserve"> FORMTEXT </w:instrText>
            </w:r>
            <w:r w:rsidRPr="002C0B11">
              <w:rPr>
                <w:rFonts w:ascii="Times New Roman" w:hAnsi="Times New Roman"/>
                <w:color w:val="000000"/>
                <w:sz w:val="22"/>
                <w:szCs w:val="22"/>
              </w:rPr>
            </w:r>
            <w:r w:rsidRPr="002C0B11">
              <w:rPr>
                <w:rFonts w:ascii="Times New Roman" w:hAnsi="Times New Roman"/>
                <w:color w:val="000000"/>
                <w:sz w:val="22"/>
                <w:szCs w:val="22"/>
              </w:rPr>
              <w:fldChar w:fldCharType="separate"/>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00D95BF7" w:rsidRPr="002C0B11">
              <w:rPr>
                <w:rFonts w:ascii="Times New Roman" w:hAnsi="Times New Roman"/>
                <w:noProof/>
                <w:color w:val="000000"/>
                <w:sz w:val="22"/>
                <w:szCs w:val="22"/>
              </w:rPr>
              <w:t> </w:t>
            </w:r>
            <w:r w:rsidRPr="002C0B11">
              <w:rPr>
                <w:rFonts w:ascii="Times New Roman" w:hAnsi="Times New Roman"/>
                <w:color w:val="000000"/>
                <w:sz w:val="22"/>
                <w:szCs w:val="22"/>
              </w:rPr>
              <w:fldChar w:fldCharType="end"/>
            </w:r>
          </w:p>
          <w:p w:rsidR="00D95BF7" w:rsidRPr="002C0B11" w:rsidRDefault="00D95BF7" w:rsidP="00C51FCB">
            <w:pPr>
              <w:rPr>
                <w:rFonts w:ascii="Times New Roman" w:hAnsi="Times New Roman"/>
                <w:color w:val="000000"/>
                <w:sz w:val="22"/>
                <w:szCs w:val="22"/>
              </w:rPr>
            </w:pPr>
          </w:p>
        </w:tc>
      </w:tr>
      <w:tr w:rsidR="00D95BF7" w:rsidRPr="002C0B11" w:rsidTr="00C51FCB">
        <w:trPr>
          <w:trHeight w:val="867"/>
        </w:trPr>
        <w:tc>
          <w:tcPr>
            <w:tcW w:w="5128" w:type="dxa"/>
            <w:gridSpan w:val="12"/>
            <w:shd w:val="clear" w:color="auto" w:fill="FFFFFF"/>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pacing w:val="-2"/>
                <w:sz w:val="22"/>
                <w:szCs w:val="22"/>
              </w:rPr>
              <w:t xml:space="preserve">Wprowadzane obciążenia są przystosowane do ich elektronizacji. </w:t>
            </w:r>
          </w:p>
        </w:tc>
        <w:tc>
          <w:tcPr>
            <w:tcW w:w="5394" w:type="dxa"/>
            <w:gridSpan w:val="18"/>
            <w:shd w:val="clear" w:color="auto" w:fill="FFFFFF"/>
          </w:tcPr>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 xml:space="preserve"> tak</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 xml:space="preserve"> nie</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
                  <w:enabled/>
                  <w:calcOnExit w:val="0"/>
                  <w:checkBox>
                    <w:sizeAuto/>
                    <w:default w:val="1"/>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 xml:space="preserve"> nie dotyczy</w:t>
            </w:r>
          </w:p>
          <w:p w:rsidR="00D95BF7" w:rsidRPr="002C0B11" w:rsidRDefault="00D95BF7" w:rsidP="00C51FCB">
            <w:pPr>
              <w:rPr>
                <w:rFonts w:ascii="Times New Roman" w:hAnsi="Times New Roman"/>
                <w:color w:val="000000"/>
                <w:sz w:val="22"/>
                <w:szCs w:val="22"/>
              </w:rPr>
            </w:pPr>
          </w:p>
        </w:tc>
      </w:tr>
      <w:tr w:rsidR="00D95BF7" w:rsidRPr="002C0B11" w:rsidTr="00C51FCB">
        <w:trPr>
          <w:trHeight w:val="628"/>
        </w:trPr>
        <w:tc>
          <w:tcPr>
            <w:tcW w:w="10522" w:type="dxa"/>
            <w:gridSpan w:val="30"/>
            <w:shd w:val="clear" w:color="auto" w:fill="FFFFFF"/>
          </w:tcPr>
          <w:p w:rsidR="00D95BF7" w:rsidRPr="002C0B11" w:rsidRDefault="00D95BF7" w:rsidP="00C51FCB">
            <w:pPr>
              <w:jc w:val="both"/>
              <w:rPr>
                <w:rFonts w:ascii="Times New Roman" w:hAnsi="Times New Roman"/>
                <w:color w:val="000000"/>
                <w:sz w:val="22"/>
                <w:szCs w:val="22"/>
              </w:rPr>
            </w:pPr>
          </w:p>
          <w:p w:rsidR="00D95BF7" w:rsidRPr="002C0B11" w:rsidRDefault="00D95BF7" w:rsidP="00C51FCB">
            <w:pPr>
              <w:jc w:val="both"/>
              <w:rPr>
                <w:rFonts w:ascii="Times New Roman" w:hAnsi="Times New Roman"/>
                <w:color w:val="000000"/>
                <w:sz w:val="22"/>
                <w:szCs w:val="22"/>
              </w:rPr>
            </w:pPr>
          </w:p>
        </w:tc>
      </w:tr>
      <w:tr w:rsidR="00D95BF7" w:rsidRPr="002C0B11" w:rsidTr="00C51FCB">
        <w:trPr>
          <w:trHeight w:val="141"/>
        </w:trPr>
        <w:tc>
          <w:tcPr>
            <w:tcW w:w="10522" w:type="dxa"/>
            <w:gridSpan w:val="30"/>
            <w:shd w:val="clear" w:color="auto" w:fill="99CCFF"/>
          </w:tcPr>
          <w:p w:rsidR="00D95BF7" w:rsidRPr="002C0B11" w:rsidRDefault="00D95BF7" w:rsidP="00D95BF7">
            <w:pPr>
              <w:widowControl/>
              <w:numPr>
                <w:ilvl w:val="0"/>
                <w:numId w:val="3"/>
              </w:numPr>
              <w:suppressAutoHyphens w:val="0"/>
              <w:autoSpaceDE/>
              <w:autoSpaceDN/>
              <w:spacing w:before="60" w:after="60"/>
              <w:jc w:val="both"/>
              <w:textAlignment w:val="auto"/>
              <w:rPr>
                <w:rFonts w:ascii="Times New Roman" w:hAnsi="Times New Roman"/>
                <w:b/>
                <w:color w:val="000000"/>
                <w:sz w:val="22"/>
                <w:szCs w:val="22"/>
              </w:rPr>
            </w:pPr>
            <w:r w:rsidRPr="002C0B11">
              <w:rPr>
                <w:rFonts w:ascii="Times New Roman" w:hAnsi="Times New Roman"/>
                <w:b/>
                <w:color w:val="000000"/>
                <w:sz w:val="22"/>
                <w:szCs w:val="22"/>
              </w:rPr>
              <w:t xml:space="preserve">Wpływ na rynek pracy </w:t>
            </w:r>
          </w:p>
        </w:tc>
      </w:tr>
      <w:tr w:rsidR="00D95BF7" w:rsidRPr="002C0B11" w:rsidTr="00C51FCB">
        <w:trPr>
          <w:trHeight w:val="141"/>
        </w:trPr>
        <w:tc>
          <w:tcPr>
            <w:tcW w:w="10522" w:type="dxa"/>
            <w:gridSpan w:val="30"/>
          </w:tcPr>
          <w:p w:rsidR="00D95BF7" w:rsidRPr="002C0B11" w:rsidRDefault="00D95BF7" w:rsidP="00C51FCB">
            <w:pPr>
              <w:jc w:val="both"/>
              <w:rPr>
                <w:rFonts w:ascii="Times New Roman" w:hAnsi="Times New Roman"/>
                <w:color w:val="000000"/>
                <w:sz w:val="22"/>
                <w:szCs w:val="22"/>
              </w:rPr>
            </w:pPr>
            <w:r w:rsidRPr="002C0B11">
              <w:rPr>
                <w:rFonts w:ascii="Times New Roman" w:hAnsi="Times New Roman"/>
                <w:color w:val="000000"/>
                <w:spacing w:val="-2"/>
                <w:sz w:val="22"/>
                <w:szCs w:val="22"/>
              </w:rPr>
              <w:t xml:space="preserve">Brak wpływu. </w:t>
            </w:r>
          </w:p>
          <w:p w:rsidR="00D95BF7" w:rsidRPr="002C0B11" w:rsidRDefault="00D95BF7" w:rsidP="00C51FCB">
            <w:pPr>
              <w:jc w:val="both"/>
              <w:rPr>
                <w:rFonts w:ascii="Times New Roman" w:hAnsi="Times New Roman"/>
                <w:color w:val="000000"/>
                <w:sz w:val="22"/>
                <w:szCs w:val="22"/>
              </w:rPr>
            </w:pPr>
          </w:p>
        </w:tc>
      </w:tr>
      <w:tr w:rsidR="00D95BF7" w:rsidRPr="002C0B11" w:rsidTr="00C51FCB">
        <w:trPr>
          <w:trHeight w:val="141"/>
        </w:trPr>
        <w:tc>
          <w:tcPr>
            <w:tcW w:w="10522" w:type="dxa"/>
            <w:gridSpan w:val="30"/>
            <w:shd w:val="clear" w:color="auto" w:fill="99CCFF"/>
          </w:tcPr>
          <w:p w:rsidR="00D95BF7" w:rsidRPr="002C0B11" w:rsidRDefault="00D95BF7" w:rsidP="00D95BF7">
            <w:pPr>
              <w:widowControl/>
              <w:numPr>
                <w:ilvl w:val="0"/>
                <w:numId w:val="3"/>
              </w:numPr>
              <w:suppressAutoHyphens w:val="0"/>
              <w:autoSpaceDE/>
              <w:autoSpaceDN/>
              <w:spacing w:before="60" w:after="60"/>
              <w:jc w:val="both"/>
              <w:textAlignment w:val="auto"/>
              <w:rPr>
                <w:rFonts w:ascii="Times New Roman" w:hAnsi="Times New Roman"/>
                <w:b/>
                <w:color w:val="000000"/>
                <w:sz w:val="22"/>
                <w:szCs w:val="22"/>
              </w:rPr>
            </w:pPr>
            <w:r w:rsidRPr="002C0B11">
              <w:rPr>
                <w:rFonts w:ascii="Times New Roman" w:hAnsi="Times New Roman"/>
                <w:b/>
                <w:color w:val="000000"/>
                <w:sz w:val="22"/>
                <w:szCs w:val="22"/>
              </w:rPr>
              <w:t>Wpływ na pozostałe obszary</w:t>
            </w:r>
          </w:p>
        </w:tc>
      </w:tr>
      <w:tr w:rsidR="00D95BF7" w:rsidRPr="002C0B11" w:rsidTr="00C51FCB">
        <w:trPr>
          <w:trHeight w:val="1027"/>
        </w:trPr>
        <w:tc>
          <w:tcPr>
            <w:tcW w:w="3680" w:type="dxa"/>
            <w:gridSpan w:val="5"/>
            <w:shd w:val="clear" w:color="auto" w:fill="FFFFFF"/>
          </w:tcPr>
          <w:p w:rsidR="00D95BF7" w:rsidRPr="002C0B11" w:rsidRDefault="00D95BF7" w:rsidP="00C51FCB">
            <w:pPr>
              <w:rPr>
                <w:rFonts w:ascii="Times New Roman" w:hAnsi="Times New Roman"/>
                <w:color w:val="000000"/>
                <w:sz w:val="22"/>
                <w:szCs w:val="22"/>
              </w:rPr>
            </w:pP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środowisko naturalne</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sytuacja i rozwój regionalny</w:t>
            </w: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 xml:space="preserve">inne: </w:t>
            </w:r>
            <w:r w:rsidR="00D95BF7">
              <w:t>sytuacja ekonomiczna</w:t>
            </w:r>
            <w:r w:rsidR="00D95BF7" w:rsidRPr="00CD74B1">
              <w:t xml:space="preserve"> i społeczną rodziny, a także osób niepełnosprawnych oraz osób starszych</w:t>
            </w:r>
          </w:p>
        </w:tc>
        <w:tc>
          <w:tcPr>
            <w:tcW w:w="3413" w:type="dxa"/>
            <w:gridSpan w:val="15"/>
            <w:shd w:val="clear" w:color="auto" w:fill="FFFFFF"/>
          </w:tcPr>
          <w:p w:rsidR="00D95BF7" w:rsidRPr="002C0B11" w:rsidRDefault="00D95BF7" w:rsidP="00C51FCB">
            <w:pPr>
              <w:rPr>
                <w:rFonts w:ascii="Times New Roman" w:hAnsi="Times New Roman"/>
                <w:color w:val="000000"/>
                <w:sz w:val="22"/>
                <w:szCs w:val="22"/>
              </w:rPr>
            </w:pP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demografia</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z w:val="22"/>
                <w:szCs w:val="22"/>
              </w:rPr>
              <w:t>mienie państwowe</w:t>
            </w:r>
          </w:p>
        </w:tc>
        <w:tc>
          <w:tcPr>
            <w:tcW w:w="3429" w:type="dxa"/>
            <w:gridSpan w:val="10"/>
            <w:shd w:val="clear" w:color="auto" w:fill="FFFFFF"/>
          </w:tcPr>
          <w:p w:rsidR="00D95BF7" w:rsidRPr="002C0B11" w:rsidRDefault="00D95BF7" w:rsidP="00C51FCB">
            <w:pPr>
              <w:rPr>
                <w:rFonts w:ascii="Times New Roman" w:hAnsi="Times New Roman"/>
                <w:color w:val="000000"/>
                <w:sz w:val="22"/>
                <w:szCs w:val="22"/>
              </w:rPr>
            </w:pPr>
          </w:p>
          <w:p w:rsidR="00D95BF7" w:rsidRPr="002C0B11" w:rsidRDefault="007603DC" w:rsidP="00C51FCB">
            <w:pPr>
              <w:rPr>
                <w:rFonts w:ascii="Times New Roman" w:hAnsi="Times New Roman"/>
                <w:color w:val="000000"/>
                <w:spacing w:val="-2"/>
                <w:sz w:val="22"/>
                <w:szCs w:val="22"/>
              </w:rPr>
            </w:pPr>
            <w:r w:rsidRPr="002C0B11">
              <w:rPr>
                <w:rFonts w:ascii="Times New Roman" w:hAnsi="Times New Roman"/>
                <w:color w:val="000000"/>
                <w:sz w:val="22"/>
                <w:szCs w:val="22"/>
              </w:rPr>
              <w:fldChar w:fldCharType="begin">
                <w:ffData>
                  <w:name w:val="Wybór1"/>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informatyzacja</w:t>
            </w:r>
          </w:p>
          <w:p w:rsidR="00D95BF7" w:rsidRPr="002C0B11" w:rsidRDefault="007603DC" w:rsidP="00C51FCB">
            <w:pPr>
              <w:rPr>
                <w:rFonts w:ascii="Times New Roman" w:hAnsi="Times New Roman"/>
                <w:color w:val="000000"/>
                <w:sz w:val="22"/>
                <w:szCs w:val="22"/>
              </w:rPr>
            </w:pPr>
            <w:r w:rsidRPr="002C0B11">
              <w:rPr>
                <w:rFonts w:ascii="Times New Roman" w:hAnsi="Times New Roman"/>
                <w:color w:val="000000"/>
                <w:sz w:val="22"/>
                <w:szCs w:val="22"/>
              </w:rPr>
              <w:fldChar w:fldCharType="begin">
                <w:ffData>
                  <w:name w:val=""/>
                  <w:enabled/>
                  <w:calcOnExit w:val="0"/>
                  <w:checkBox>
                    <w:sizeAuto/>
                    <w:default w:val="0"/>
                  </w:checkBox>
                </w:ffData>
              </w:fldChar>
            </w:r>
            <w:r w:rsidR="00D95BF7" w:rsidRPr="002C0B11">
              <w:rPr>
                <w:rFonts w:ascii="Times New Roman" w:hAnsi="Times New Roman"/>
                <w:color w:val="000000"/>
                <w:sz w:val="22"/>
                <w:szCs w:val="22"/>
              </w:rPr>
              <w:instrText xml:space="preserve"> FORMCHECKBOX </w:instrText>
            </w:r>
            <w:r w:rsidR="00FF611E">
              <w:rPr>
                <w:rFonts w:ascii="Times New Roman" w:hAnsi="Times New Roman"/>
                <w:color w:val="000000"/>
                <w:sz w:val="22"/>
                <w:szCs w:val="22"/>
              </w:rPr>
            </w:r>
            <w:r w:rsidR="00FF611E">
              <w:rPr>
                <w:rFonts w:ascii="Times New Roman" w:hAnsi="Times New Roman"/>
                <w:color w:val="000000"/>
                <w:sz w:val="22"/>
                <w:szCs w:val="22"/>
              </w:rPr>
              <w:fldChar w:fldCharType="separate"/>
            </w:r>
            <w:r w:rsidRPr="002C0B11">
              <w:rPr>
                <w:rFonts w:ascii="Times New Roman" w:hAnsi="Times New Roman"/>
                <w:color w:val="000000"/>
                <w:sz w:val="22"/>
                <w:szCs w:val="22"/>
              </w:rPr>
              <w:fldChar w:fldCharType="end"/>
            </w:r>
            <w:r w:rsidR="00D95BF7" w:rsidRPr="002C0B11">
              <w:rPr>
                <w:rFonts w:ascii="Times New Roman" w:hAnsi="Times New Roman"/>
                <w:color w:val="000000"/>
                <w:spacing w:val="-2"/>
                <w:sz w:val="22"/>
                <w:szCs w:val="22"/>
              </w:rPr>
              <w:t>zdrowie</w:t>
            </w:r>
          </w:p>
        </w:tc>
      </w:tr>
      <w:tr w:rsidR="00D95BF7" w:rsidRPr="002C0B11" w:rsidTr="00C51FCB">
        <w:trPr>
          <w:trHeight w:val="709"/>
        </w:trPr>
        <w:tc>
          <w:tcPr>
            <w:tcW w:w="2472" w:type="dxa"/>
            <w:gridSpan w:val="2"/>
            <w:shd w:val="clear" w:color="auto" w:fill="FFFFFF"/>
            <w:vAlign w:val="center"/>
          </w:tcPr>
          <w:p w:rsidR="00D95BF7" w:rsidRPr="002C0B11" w:rsidRDefault="00D95BF7" w:rsidP="00C51FCB">
            <w:pPr>
              <w:rPr>
                <w:rFonts w:ascii="Times New Roman" w:hAnsi="Times New Roman"/>
                <w:color w:val="000000"/>
                <w:sz w:val="22"/>
                <w:szCs w:val="22"/>
              </w:rPr>
            </w:pPr>
            <w:r w:rsidRPr="002C0B11">
              <w:rPr>
                <w:rFonts w:ascii="Times New Roman" w:hAnsi="Times New Roman"/>
                <w:color w:val="000000"/>
                <w:sz w:val="22"/>
                <w:szCs w:val="22"/>
              </w:rPr>
              <w:t>Omówienie wpływu</w:t>
            </w:r>
          </w:p>
        </w:tc>
        <w:tc>
          <w:tcPr>
            <w:tcW w:w="8050" w:type="dxa"/>
            <w:gridSpan w:val="28"/>
            <w:shd w:val="clear" w:color="auto" w:fill="FFFFFF"/>
            <w:vAlign w:val="center"/>
          </w:tcPr>
          <w:p w:rsidR="00D95BF7" w:rsidRPr="002C0B11" w:rsidRDefault="00D95BF7" w:rsidP="00C51FCB">
            <w:pPr>
              <w:jc w:val="both"/>
              <w:rPr>
                <w:rFonts w:ascii="Times New Roman" w:hAnsi="Times New Roman"/>
                <w:color w:val="000000"/>
                <w:spacing w:val="-2"/>
                <w:sz w:val="22"/>
                <w:szCs w:val="22"/>
              </w:rPr>
            </w:pPr>
            <w:r>
              <w:rPr>
                <w:rFonts w:ascii="Times New Roman" w:hAnsi="Times New Roman"/>
                <w:color w:val="000000"/>
                <w:spacing w:val="-2"/>
                <w:sz w:val="22"/>
                <w:szCs w:val="22"/>
              </w:rPr>
              <w:t>Brak wpływu</w:t>
            </w:r>
          </w:p>
        </w:tc>
      </w:tr>
      <w:tr w:rsidR="00D95BF7" w:rsidRPr="002C0B11" w:rsidTr="00C51FCB">
        <w:trPr>
          <w:trHeight w:val="141"/>
        </w:trPr>
        <w:tc>
          <w:tcPr>
            <w:tcW w:w="10522" w:type="dxa"/>
            <w:gridSpan w:val="30"/>
            <w:shd w:val="clear" w:color="auto" w:fill="99CCFF"/>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sz w:val="22"/>
                <w:szCs w:val="22"/>
              </w:rPr>
            </w:pPr>
            <w:r w:rsidRPr="002C0B11">
              <w:rPr>
                <w:rFonts w:ascii="Times New Roman" w:hAnsi="Times New Roman"/>
                <w:b/>
                <w:spacing w:val="-2"/>
                <w:sz w:val="22"/>
                <w:szCs w:val="22"/>
              </w:rPr>
              <w:t>Planowane wykonanie przepisów aktu prawnego</w:t>
            </w:r>
          </w:p>
        </w:tc>
      </w:tr>
      <w:tr w:rsidR="00D95BF7" w:rsidRPr="002C0B11" w:rsidTr="00C51FCB">
        <w:trPr>
          <w:trHeight w:val="141"/>
        </w:trPr>
        <w:tc>
          <w:tcPr>
            <w:tcW w:w="10522" w:type="dxa"/>
            <w:gridSpan w:val="30"/>
            <w:shd w:val="clear" w:color="auto" w:fill="FFFFFF"/>
          </w:tcPr>
          <w:p w:rsidR="00D95BF7" w:rsidRPr="002C0B11" w:rsidRDefault="00D95BF7" w:rsidP="00C51FCB">
            <w:pPr>
              <w:jc w:val="both"/>
              <w:rPr>
                <w:rFonts w:ascii="Times New Roman" w:hAnsi="Times New Roman"/>
                <w:spacing w:val="-2"/>
                <w:sz w:val="22"/>
                <w:szCs w:val="22"/>
              </w:rPr>
            </w:pPr>
            <w:r w:rsidRPr="002C0B11">
              <w:rPr>
                <w:rFonts w:ascii="Times New Roman" w:hAnsi="Times New Roman"/>
                <w:spacing w:val="-2"/>
                <w:sz w:val="22"/>
                <w:szCs w:val="22"/>
              </w:rPr>
              <w:t>W momencie wejścia w życie rozporządzenia.</w:t>
            </w:r>
          </w:p>
          <w:p w:rsidR="00D95BF7" w:rsidRPr="002C0B11" w:rsidRDefault="00D95BF7" w:rsidP="00C51FCB">
            <w:pPr>
              <w:jc w:val="both"/>
              <w:rPr>
                <w:rFonts w:ascii="Times New Roman" w:hAnsi="Times New Roman"/>
                <w:spacing w:val="-2"/>
                <w:sz w:val="22"/>
                <w:szCs w:val="22"/>
              </w:rPr>
            </w:pPr>
          </w:p>
        </w:tc>
      </w:tr>
      <w:tr w:rsidR="00D95BF7" w:rsidRPr="002C0B11" w:rsidTr="00C51FCB">
        <w:trPr>
          <w:trHeight w:val="141"/>
        </w:trPr>
        <w:tc>
          <w:tcPr>
            <w:tcW w:w="10522" w:type="dxa"/>
            <w:gridSpan w:val="30"/>
            <w:shd w:val="clear" w:color="auto" w:fill="99CCFF"/>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z w:val="22"/>
                <w:szCs w:val="22"/>
              </w:rPr>
            </w:pPr>
            <w:r w:rsidRPr="002C0B11">
              <w:rPr>
                <w:rFonts w:ascii="Times New Roman" w:hAnsi="Times New Roman"/>
                <w:b/>
                <w:spacing w:val="-2"/>
                <w:sz w:val="22"/>
                <w:szCs w:val="22"/>
              </w:rPr>
              <w:t>W jaki sposób i kiedy nastąpi ewaluacja efektów projektu oraz jakie mierniki zostaną zastosowane?</w:t>
            </w:r>
          </w:p>
        </w:tc>
      </w:tr>
      <w:tr w:rsidR="00D95BF7" w:rsidRPr="002C0B11" w:rsidTr="00C51FCB">
        <w:trPr>
          <w:trHeight w:val="141"/>
        </w:trPr>
        <w:tc>
          <w:tcPr>
            <w:tcW w:w="10522" w:type="dxa"/>
            <w:gridSpan w:val="30"/>
            <w:shd w:val="clear" w:color="auto" w:fill="FFFFFF"/>
          </w:tcPr>
          <w:p w:rsidR="00D95BF7" w:rsidRPr="002C0B11" w:rsidRDefault="00D95BF7" w:rsidP="00C51FCB">
            <w:pPr>
              <w:jc w:val="both"/>
              <w:rPr>
                <w:rFonts w:ascii="Times New Roman" w:hAnsi="Times New Roman"/>
                <w:color w:val="000000"/>
                <w:spacing w:val="-2"/>
                <w:sz w:val="22"/>
                <w:szCs w:val="22"/>
              </w:rPr>
            </w:pPr>
          </w:p>
          <w:p w:rsidR="00D95BF7" w:rsidRPr="002C0B11" w:rsidRDefault="00D95BF7" w:rsidP="00C51FCB">
            <w:pPr>
              <w:jc w:val="both"/>
              <w:rPr>
                <w:rFonts w:ascii="Times New Roman" w:hAnsi="Times New Roman"/>
                <w:color w:val="000000"/>
                <w:spacing w:val="-2"/>
                <w:sz w:val="22"/>
                <w:szCs w:val="22"/>
              </w:rPr>
            </w:pPr>
            <w:r w:rsidRPr="002C0B11">
              <w:rPr>
                <w:rFonts w:ascii="Times New Roman" w:hAnsi="Times New Roman"/>
                <w:color w:val="000000"/>
                <w:spacing w:val="-2"/>
                <w:sz w:val="22"/>
                <w:szCs w:val="22"/>
              </w:rPr>
              <w:t xml:space="preserve">Planowany efekt zostanie osiągnięty po wejściu w życiu przepisów projektu. Brak konieczności określenia mierników. </w:t>
            </w:r>
          </w:p>
          <w:p w:rsidR="00D95BF7" w:rsidRPr="002C0B11" w:rsidRDefault="00D95BF7" w:rsidP="00C51FCB">
            <w:pPr>
              <w:jc w:val="both"/>
              <w:rPr>
                <w:rFonts w:ascii="Times New Roman" w:hAnsi="Times New Roman"/>
                <w:color w:val="000000"/>
                <w:spacing w:val="-2"/>
                <w:sz w:val="22"/>
                <w:szCs w:val="22"/>
              </w:rPr>
            </w:pPr>
          </w:p>
        </w:tc>
      </w:tr>
      <w:tr w:rsidR="00D95BF7" w:rsidRPr="002C0B11" w:rsidTr="00C51FCB">
        <w:trPr>
          <w:trHeight w:val="141"/>
        </w:trPr>
        <w:tc>
          <w:tcPr>
            <w:tcW w:w="10522" w:type="dxa"/>
            <w:gridSpan w:val="30"/>
            <w:shd w:val="clear" w:color="auto" w:fill="99CCFF"/>
          </w:tcPr>
          <w:p w:rsidR="00D95BF7" w:rsidRPr="002C0B11" w:rsidRDefault="00D95BF7" w:rsidP="00D95BF7">
            <w:pPr>
              <w:widowControl/>
              <w:numPr>
                <w:ilvl w:val="0"/>
                <w:numId w:val="3"/>
              </w:numPr>
              <w:suppressAutoHyphens w:val="0"/>
              <w:autoSpaceDE/>
              <w:autoSpaceDN/>
              <w:spacing w:before="60" w:after="60"/>
              <w:ind w:left="318" w:hanging="284"/>
              <w:jc w:val="both"/>
              <w:textAlignment w:val="auto"/>
              <w:rPr>
                <w:rFonts w:ascii="Times New Roman" w:hAnsi="Times New Roman"/>
                <w:b/>
                <w:color w:val="000000"/>
                <w:spacing w:val="-2"/>
                <w:sz w:val="22"/>
                <w:szCs w:val="22"/>
              </w:rPr>
            </w:pPr>
            <w:r w:rsidRPr="002C0B11">
              <w:rPr>
                <w:rFonts w:ascii="Times New Roman" w:hAnsi="Times New Roman"/>
                <w:b/>
                <w:color w:val="000000"/>
                <w:spacing w:val="-2"/>
                <w:sz w:val="22"/>
                <w:szCs w:val="22"/>
              </w:rPr>
              <w:t xml:space="preserve">Załączniki </w:t>
            </w:r>
            <w:r w:rsidRPr="002C0B11">
              <w:rPr>
                <w:rFonts w:ascii="Times New Roman" w:hAnsi="Times New Roman"/>
                <w:b/>
                <w:spacing w:val="-2"/>
                <w:sz w:val="22"/>
                <w:szCs w:val="22"/>
              </w:rPr>
              <w:t>(istotne dokumenty źródłowe, badania, analizy itp.</w:t>
            </w:r>
            <w:r w:rsidRPr="002C0B11">
              <w:rPr>
                <w:rFonts w:ascii="Times New Roman" w:hAnsi="Times New Roman"/>
                <w:b/>
                <w:color w:val="000000"/>
                <w:spacing w:val="-2"/>
                <w:sz w:val="22"/>
                <w:szCs w:val="22"/>
              </w:rPr>
              <w:t xml:space="preserve">) </w:t>
            </w:r>
          </w:p>
        </w:tc>
      </w:tr>
      <w:tr w:rsidR="00D95BF7" w:rsidRPr="002C0B11" w:rsidTr="00C51FCB">
        <w:trPr>
          <w:trHeight w:val="141"/>
        </w:trPr>
        <w:tc>
          <w:tcPr>
            <w:tcW w:w="10522" w:type="dxa"/>
            <w:gridSpan w:val="30"/>
            <w:shd w:val="clear" w:color="auto" w:fill="FFFFFF"/>
          </w:tcPr>
          <w:p w:rsidR="00D95BF7" w:rsidRPr="002C0B11" w:rsidRDefault="00D95BF7" w:rsidP="00C51FCB">
            <w:pPr>
              <w:jc w:val="both"/>
              <w:rPr>
                <w:rFonts w:ascii="Times New Roman" w:hAnsi="Times New Roman"/>
                <w:i/>
                <w:color w:val="000000"/>
                <w:spacing w:val="-2"/>
                <w:sz w:val="22"/>
                <w:szCs w:val="22"/>
              </w:rPr>
            </w:pPr>
          </w:p>
          <w:p w:rsidR="00D95BF7" w:rsidRPr="002C0B11" w:rsidRDefault="00D95BF7" w:rsidP="00C51FCB">
            <w:pPr>
              <w:jc w:val="both"/>
              <w:rPr>
                <w:rFonts w:ascii="Times New Roman" w:hAnsi="Times New Roman"/>
                <w:color w:val="000000"/>
                <w:spacing w:val="-2"/>
                <w:sz w:val="22"/>
                <w:szCs w:val="22"/>
              </w:rPr>
            </w:pPr>
            <w:r w:rsidRPr="002C0B11">
              <w:rPr>
                <w:rFonts w:ascii="Times New Roman" w:hAnsi="Times New Roman"/>
                <w:color w:val="000000"/>
                <w:spacing w:val="-2"/>
                <w:sz w:val="22"/>
                <w:szCs w:val="22"/>
              </w:rPr>
              <w:t>Nie dotyczy.</w:t>
            </w:r>
          </w:p>
          <w:p w:rsidR="00D95BF7" w:rsidRPr="002C0B11" w:rsidRDefault="00D95BF7" w:rsidP="00C51FCB">
            <w:pPr>
              <w:jc w:val="both"/>
              <w:rPr>
                <w:rFonts w:ascii="Times New Roman" w:hAnsi="Times New Roman"/>
                <w:color w:val="000000"/>
                <w:spacing w:val="-2"/>
                <w:sz w:val="22"/>
                <w:szCs w:val="22"/>
              </w:rPr>
            </w:pPr>
          </w:p>
        </w:tc>
      </w:tr>
    </w:tbl>
    <w:p w:rsidR="00D95BF7" w:rsidRPr="002C0B11" w:rsidRDefault="00D95BF7" w:rsidP="00D95BF7">
      <w:pPr>
        <w:rPr>
          <w:rFonts w:ascii="Times New Roman" w:hAnsi="Times New Roman"/>
          <w:sz w:val="22"/>
          <w:szCs w:val="22"/>
        </w:rPr>
      </w:pPr>
    </w:p>
    <w:p w:rsidR="00D95BF7" w:rsidRPr="002C0B11" w:rsidRDefault="00D95BF7" w:rsidP="00D95BF7">
      <w:pPr>
        <w:rPr>
          <w:rFonts w:ascii="Times New Roman" w:hAnsi="Times New Roman"/>
          <w:sz w:val="22"/>
          <w:szCs w:val="22"/>
        </w:rPr>
      </w:pPr>
    </w:p>
    <w:p w:rsidR="00684E31" w:rsidRDefault="00684E31">
      <w:pPr>
        <w:suppressAutoHyphens w:val="0"/>
        <w:textAlignment w:val="auto"/>
        <w:rPr>
          <w:rFonts w:ascii="Times New Roman" w:hAnsi="Times New Roman"/>
          <w:sz w:val="22"/>
          <w:szCs w:val="22"/>
        </w:rPr>
      </w:pPr>
    </w:p>
    <w:sectPr w:rsidR="00684E31" w:rsidSect="0094496C">
      <w:headerReference w:type="default" r:id="rId8"/>
      <w:pgSz w:w="11906" w:h="16838"/>
      <w:pgMar w:top="1560" w:right="1434"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1E" w:rsidRDefault="00FF611E">
      <w:r>
        <w:separator/>
      </w:r>
    </w:p>
  </w:endnote>
  <w:endnote w:type="continuationSeparator" w:id="0">
    <w:p w:rsidR="00FF611E" w:rsidRDefault="00F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
    <w:altName w:val="Times New Roman"/>
    <w:panose1 w:val="00000000000000000000"/>
    <w:charset w:val="EE"/>
    <w:family w:val="auto"/>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1E" w:rsidRDefault="00FF611E">
      <w:r>
        <w:rPr>
          <w:color w:val="000000"/>
        </w:rPr>
        <w:separator/>
      </w:r>
    </w:p>
  </w:footnote>
  <w:footnote w:type="continuationSeparator" w:id="0">
    <w:p w:rsidR="00FF611E" w:rsidRDefault="00FF611E">
      <w:r>
        <w:continuationSeparator/>
      </w:r>
    </w:p>
  </w:footnote>
  <w:footnote w:id="1">
    <w:p w:rsidR="00684E31" w:rsidRDefault="00AB51B9">
      <w:pPr>
        <w:pStyle w:val="ODNONIKtreodnonika"/>
      </w:pPr>
      <w:r>
        <w:rPr>
          <w:rStyle w:val="Odwoanieprzypisudolnego"/>
        </w:rPr>
        <w:t>1)</w:t>
      </w:r>
      <w:r>
        <w:rPr>
          <w:rStyle w:val="IGindeksgrny"/>
        </w:rPr>
        <w:t xml:space="preserve"> </w:t>
      </w:r>
      <w:r>
        <w:tab/>
        <w:t>Minister Infrastruktury kieruje działem administracji rządowej – transport, na podstawie § 1 ust. 2 pkt 3 rozporządzenia Prezesa Rady Ministrów z dnia 11 stycznia 2018 r. w sprawie szczegółowego zakresu działania Ministra Infrastruktury (Dz. U. poz. 101 i 176).</w:t>
      </w:r>
    </w:p>
  </w:footnote>
  <w:footnote w:id="2">
    <w:p w:rsidR="00684E31" w:rsidRDefault="00AB51B9">
      <w:pPr>
        <w:pStyle w:val="ODNONIKtreodnonika"/>
      </w:pPr>
      <w:r>
        <w:rPr>
          <w:rStyle w:val="Odwoanieprzypisudolnego"/>
        </w:rPr>
        <w:t>2)</w:t>
      </w:r>
      <w:r>
        <w:t xml:space="preserve"> </w:t>
      </w:r>
      <w:r>
        <w:tab/>
        <w:t>Zmiany wymienionego rozporządzenia zostały ogłoszone w Dz. Urz. UE L 63 z 06.03.2015, str. 1, Dz. Urz. UE L 196 z 21.07.2016, str. 3 oraz Dz. Urz. UE L 124 z 17.05.2017, str. 35.</w:t>
      </w:r>
    </w:p>
  </w:footnote>
  <w:footnote w:id="3">
    <w:p w:rsidR="00684E31" w:rsidRDefault="00AB51B9">
      <w:pPr>
        <w:pStyle w:val="ODNONIKtreodnonika"/>
      </w:pPr>
      <w:r>
        <w:rPr>
          <w:rStyle w:val="Odwoanieprzypisudolnego"/>
        </w:rPr>
        <w:t>3)</w:t>
      </w:r>
      <w:r>
        <w:rPr>
          <w:rStyle w:val="IGindeksgrny"/>
        </w:rPr>
        <w:t xml:space="preserve"> </w:t>
      </w:r>
      <w:r>
        <w:rPr>
          <w:rStyle w:val="IGindeksgrny"/>
        </w:rPr>
        <w:tab/>
      </w:r>
      <w:r>
        <w:t>Zmiany wymienionego rozporządzenia zostały ogłoszone w Dz. Urz. UE L 227 z 24.08.2013, str. 1, Dz. Urz. UE L 23 z 28.01.2014, str. 27, Dz. Urz. UE L 28 z 31.01.2014, str. 17, Dz. Urz. UE L 123 z 24.04.2014, str. 1, Dz. Urz. UE L 24 z 30.01.2015, str. 5, Dz. Urz. UE L 106 z 24.04.2015, str. 18, Dz. Urz. UE L 206 z 01.08.2015, str. 21, Dz. Urz. UE L 330 z 16.12.2015, str. 1, Dz. Urz. UE L 198 z 23.07.2016, str. 13, Dz. Urz. UE L 350 z 22.12.2016, str. 126, Dz. Urz. UE L 55 z 02.03.2017, str. 1, Dz. Urz. UE L 145 z 08.06.2017, str. 26, Dz. Urz. UE L 235 z 13.09.2017, str. 26 oraz Dz. Urz. UE L 188 z 25.07.2018, str.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79" w:rsidRDefault="00AB51B9">
    <w:pPr>
      <w:pStyle w:val="Nagwek"/>
      <w:jc w:val="center"/>
    </w:pPr>
    <w:r>
      <w:t xml:space="preserve">– </w:t>
    </w:r>
    <w:r w:rsidR="007603DC">
      <w:fldChar w:fldCharType="begin"/>
    </w:r>
    <w:r>
      <w:instrText xml:space="preserve"> PAGE </w:instrText>
    </w:r>
    <w:r w:rsidR="007603DC">
      <w:fldChar w:fldCharType="separate"/>
    </w:r>
    <w:r w:rsidR="00133E54">
      <w:rPr>
        <w:noProof/>
      </w:rPr>
      <w:t>9</w:t>
    </w:r>
    <w:r w:rsidR="007603DC">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4170"/>
    <w:multiLevelType w:val="multilevel"/>
    <w:tmpl w:val="5E6246D6"/>
    <w:lvl w:ilvl="0">
      <w:start w:val="1"/>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9E51381"/>
    <w:multiLevelType w:val="multilevel"/>
    <w:tmpl w:val="FB3A82DC"/>
    <w:lvl w:ilvl="0">
      <w:start w:val="1"/>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A1E2467"/>
    <w:multiLevelType w:val="hybridMultilevel"/>
    <w:tmpl w:val="6D4C6D22"/>
    <w:lvl w:ilvl="0" w:tplc="9470F0AA">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31"/>
    <w:rsid w:val="00070BB1"/>
    <w:rsid w:val="00133E54"/>
    <w:rsid w:val="0047262C"/>
    <w:rsid w:val="00684E31"/>
    <w:rsid w:val="007603DC"/>
    <w:rsid w:val="00785978"/>
    <w:rsid w:val="00921990"/>
    <w:rsid w:val="0094496C"/>
    <w:rsid w:val="009747B4"/>
    <w:rsid w:val="009758F8"/>
    <w:rsid w:val="00AB51B9"/>
    <w:rsid w:val="00B17B74"/>
    <w:rsid w:val="00D95BF7"/>
    <w:rsid w:val="00E0370B"/>
    <w:rsid w:val="00F52A0E"/>
    <w:rsid w:val="00FF6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6C"/>
    <w:pPr>
      <w:widowControl w:val="0"/>
      <w:suppressAutoHyphens/>
      <w:autoSpaceDE w:val="0"/>
      <w:spacing w:after="0" w:line="240" w:lineRule="auto"/>
    </w:pPr>
    <w:rPr>
      <w:rFonts w:ascii="A" w:eastAsia="Times New Roman"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4496C"/>
    <w:rPr>
      <w:rFonts w:cs="Times New Roman"/>
      <w:position w:val="0"/>
      <w:vertAlign w:val="superscript"/>
    </w:rPr>
  </w:style>
  <w:style w:type="paragraph" w:styleId="Nagwek">
    <w:name w:val="header"/>
    <w:basedOn w:val="Normalny"/>
    <w:rsid w:val="0094496C"/>
    <w:pPr>
      <w:tabs>
        <w:tab w:val="center" w:pos="4536"/>
        <w:tab w:val="right" w:pos="9072"/>
      </w:tabs>
      <w:autoSpaceDE/>
    </w:pPr>
    <w:rPr>
      <w:rFonts w:ascii="Times" w:hAnsi="Times"/>
      <w:kern w:val="3"/>
      <w:szCs w:val="24"/>
      <w:lang w:eastAsia="ar-SA"/>
    </w:rPr>
  </w:style>
  <w:style w:type="character" w:customStyle="1" w:styleId="NagwekZnak">
    <w:name w:val="Nagłówek Znak"/>
    <w:basedOn w:val="Domylnaczcionkaakapitu"/>
    <w:rsid w:val="0094496C"/>
    <w:rPr>
      <w:rFonts w:ascii="Times" w:eastAsia="Times New Roman" w:hAnsi="Times" w:cs="Times New Roman"/>
      <w:kern w:val="3"/>
      <w:sz w:val="20"/>
      <w:szCs w:val="24"/>
      <w:lang w:eastAsia="ar-SA"/>
    </w:rPr>
  </w:style>
  <w:style w:type="paragraph" w:customStyle="1" w:styleId="ARTartustawynprozporzdzenia">
    <w:name w:val="ART(§) – art. ustawy (§ np. rozporządzenia)"/>
    <w:rsid w:val="0094496C"/>
    <w:pPr>
      <w:suppressAutoHyphens/>
      <w:autoSpaceDE w:val="0"/>
      <w:spacing w:before="120" w:after="0" w:line="360" w:lineRule="auto"/>
      <w:ind w:firstLine="510"/>
      <w:jc w:val="both"/>
    </w:pPr>
    <w:rPr>
      <w:rFonts w:ascii="Times" w:eastAsia="Times New Roman" w:hAnsi="Times" w:cs="Arial"/>
      <w:sz w:val="24"/>
      <w:szCs w:val="20"/>
      <w:lang w:eastAsia="pl-PL"/>
    </w:rPr>
  </w:style>
  <w:style w:type="paragraph" w:customStyle="1" w:styleId="DATAAKTUdatauchwalenialubwydaniaaktu">
    <w:name w:val="DATA_AKTU – data uchwalenia lub wydania aktu"/>
    <w:next w:val="TYTUAKTUprzedmiotregulacjiustawylubrozporzdzenia"/>
    <w:rsid w:val="0094496C"/>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rsid w:val="0094496C"/>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94496C"/>
    <w:rPr>
      <w:bCs/>
    </w:rPr>
  </w:style>
  <w:style w:type="paragraph" w:customStyle="1" w:styleId="OZNRODZAKTUtznustawalubrozporzdzenieiorganwydajcy">
    <w:name w:val="OZN_RODZ_AKTU – tzn. ustawa lub rozporządzenie i organ wydający"/>
    <w:next w:val="DATAAKTUdatauchwalenialubwydaniaaktu"/>
    <w:rsid w:val="0094496C"/>
    <w:pPr>
      <w:keepNext/>
      <w:suppressAutoHyphens/>
      <w:spacing w:after="120" w:line="360" w:lineRule="auto"/>
      <w:jc w:val="center"/>
    </w:pPr>
    <w:rPr>
      <w:rFonts w:ascii="Times" w:eastAsia="Times New Roman" w:hAnsi="Times"/>
      <w:b/>
      <w:bCs/>
      <w:caps/>
      <w:spacing w:val="54"/>
      <w:kern w:val="3"/>
      <w:sz w:val="24"/>
      <w:szCs w:val="24"/>
      <w:lang w:eastAsia="pl-PL"/>
    </w:rPr>
  </w:style>
  <w:style w:type="paragraph" w:customStyle="1" w:styleId="PKTpunkt">
    <w:name w:val="PKT – punkt"/>
    <w:rsid w:val="0094496C"/>
    <w:pPr>
      <w:suppressAutoHyphens/>
      <w:spacing w:after="0" w:line="360" w:lineRule="auto"/>
      <w:ind w:left="510" w:hanging="510"/>
      <w:jc w:val="both"/>
    </w:pPr>
    <w:rPr>
      <w:rFonts w:ascii="Times" w:eastAsia="Times New Roman" w:hAnsi="Times" w:cs="Arial"/>
      <w:bCs/>
      <w:sz w:val="24"/>
      <w:szCs w:val="20"/>
      <w:lang w:eastAsia="pl-PL"/>
    </w:rPr>
  </w:style>
  <w:style w:type="paragraph" w:customStyle="1" w:styleId="ODNONIKtreodnonika">
    <w:name w:val="ODNOŚNIK – treść odnośnika"/>
    <w:rsid w:val="0094496C"/>
    <w:pPr>
      <w:suppressAutoHyphens/>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ARTartustawynprozporzdzenia"/>
    <w:rsid w:val="0094496C"/>
    <w:pPr>
      <w:keepNext/>
      <w:suppressAutoHyphens/>
      <w:spacing w:before="120" w:after="0" w:line="360" w:lineRule="auto"/>
      <w:jc w:val="center"/>
    </w:pPr>
    <w:rPr>
      <w:rFonts w:ascii="Times" w:eastAsia="Times New Roman" w:hAnsi="Times" w:cs="Arial"/>
      <w:bCs/>
      <w:kern w:val="3"/>
      <w:sz w:val="24"/>
      <w:szCs w:val="24"/>
      <w:lang w:eastAsia="pl-PL"/>
    </w:rPr>
  </w:style>
  <w:style w:type="paragraph" w:customStyle="1" w:styleId="OZNPROJEKTUwskazaniedatylubwersjiprojektu">
    <w:name w:val="OZN_PROJEKTU – wskazanie daty lub wersji projektu"/>
    <w:next w:val="OZNRODZAKTUtznustawalubrozporzdzenieiorganwydajcy"/>
    <w:rsid w:val="0094496C"/>
    <w:pPr>
      <w:suppressAutoHyphens/>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rsid w:val="0094496C"/>
    <w:pPr>
      <w:ind w:left="4820"/>
    </w:pPr>
    <w:rPr>
      <w:spacing w:val="0"/>
    </w:rPr>
  </w:style>
  <w:style w:type="character" w:customStyle="1" w:styleId="IGindeksgrny">
    <w:name w:val="_IG_ – indeks górny"/>
    <w:basedOn w:val="Domylnaczcionkaakapitu"/>
    <w:rsid w:val="0094496C"/>
    <w:rPr>
      <w:b w:val="0"/>
      <w:i w:val="0"/>
      <w:vanish w:val="0"/>
      <w:spacing w:val="0"/>
      <w:position w:val="0"/>
      <w:vertAlign w:val="superscript"/>
    </w:rPr>
  </w:style>
  <w:style w:type="character" w:customStyle="1" w:styleId="Ppogrubienie">
    <w:name w:val="_P_ – pogrubienie"/>
    <w:basedOn w:val="Domylnaczcionkaakapitu"/>
    <w:rsid w:val="0094496C"/>
    <w:rPr>
      <w:b/>
    </w:rPr>
  </w:style>
  <w:style w:type="paragraph" w:customStyle="1" w:styleId="CM4">
    <w:name w:val="CM4"/>
    <w:basedOn w:val="Normalny"/>
    <w:next w:val="Normalny"/>
    <w:uiPriority w:val="99"/>
    <w:rsid w:val="0094496C"/>
    <w:pPr>
      <w:widowControl/>
    </w:pPr>
    <w:rPr>
      <w:rFonts w:ascii="Times New Roman" w:hAnsi="Times New Roman"/>
      <w:sz w:val="24"/>
      <w:szCs w:val="24"/>
    </w:rPr>
  </w:style>
  <w:style w:type="character" w:styleId="Pogrubienie">
    <w:name w:val="Strong"/>
    <w:basedOn w:val="Domylnaczcionkaakapitu"/>
    <w:uiPriority w:val="22"/>
    <w:qFormat/>
    <w:rsid w:val="0094496C"/>
    <w:rPr>
      <w:rFonts w:cs="Times New Roman"/>
      <w:b/>
    </w:rPr>
  </w:style>
  <w:style w:type="character" w:customStyle="1" w:styleId="Kkursywa">
    <w:name w:val="_K_ – kursywa"/>
    <w:basedOn w:val="Domylnaczcionkaakapitu"/>
    <w:uiPriority w:val="1"/>
    <w:qFormat/>
    <w:rsid w:val="00070BB1"/>
    <w:rPr>
      <w:i/>
    </w:rPr>
  </w:style>
  <w:style w:type="paragraph" w:styleId="Tekstdymka">
    <w:name w:val="Balloon Text"/>
    <w:basedOn w:val="Normalny"/>
    <w:link w:val="TekstdymkaZnak"/>
    <w:uiPriority w:val="99"/>
    <w:semiHidden/>
    <w:unhideWhenUsed/>
    <w:rsid w:val="009747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7B4"/>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6C"/>
    <w:pPr>
      <w:widowControl w:val="0"/>
      <w:suppressAutoHyphens/>
      <w:autoSpaceDE w:val="0"/>
      <w:spacing w:after="0" w:line="240" w:lineRule="auto"/>
    </w:pPr>
    <w:rPr>
      <w:rFonts w:ascii="A" w:eastAsia="Times New Roman"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4496C"/>
    <w:rPr>
      <w:rFonts w:cs="Times New Roman"/>
      <w:position w:val="0"/>
      <w:vertAlign w:val="superscript"/>
    </w:rPr>
  </w:style>
  <w:style w:type="paragraph" w:styleId="Nagwek">
    <w:name w:val="header"/>
    <w:basedOn w:val="Normalny"/>
    <w:rsid w:val="0094496C"/>
    <w:pPr>
      <w:tabs>
        <w:tab w:val="center" w:pos="4536"/>
        <w:tab w:val="right" w:pos="9072"/>
      </w:tabs>
      <w:autoSpaceDE/>
    </w:pPr>
    <w:rPr>
      <w:rFonts w:ascii="Times" w:hAnsi="Times"/>
      <w:kern w:val="3"/>
      <w:szCs w:val="24"/>
      <w:lang w:eastAsia="ar-SA"/>
    </w:rPr>
  </w:style>
  <w:style w:type="character" w:customStyle="1" w:styleId="NagwekZnak">
    <w:name w:val="Nagłówek Znak"/>
    <w:basedOn w:val="Domylnaczcionkaakapitu"/>
    <w:rsid w:val="0094496C"/>
    <w:rPr>
      <w:rFonts w:ascii="Times" w:eastAsia="Times New Roman" w:hAnsi="Times" w:cs="Times New Roman"/>
      <w:kern w:val="3"/>
      <w:sz w:val="20"/>
      <w:szCs w:val="24"/>
      <w:lang w:eastAsia="ar-SA"/>
    </w:rPr>
  </w:style>
  <w:style w:type="paragraph" w:customStyle="1" w:styleId="ARTartustawynprozporzdzenia">
    <w:name w:val="ART(§) – art. ustawy (§ np. rozporządzenia)"/>
    <w:rsid w:val="0094496C"/>
    <w:pPr>
      <w:suppressAutoHyphens/>
      <w:autoSpaceDE w:val="0"/>
      <w:spacing w:before="120" w:after="0" w:line="360" w:lineRule="auto"/>
      <w:ind w:firstLine="510"/>
      <w:jc w:val="both"/>
    </w:pPr>
    <w:rPr>
      <w:rFonts w:ascii="Times" w:eastAsia="Times New Roman" w:hAnsi="Times" w:cs="Arial"/>
      <w:sz w:val="24"/>
      <w:szCs w:val="20"/>
      <w:lang w:eastAsia="pl-PL"/>
    </w:rPr>
  </w:style>
  <w:style w:type="paragraph" w:customStyle="1" w:styleId="DATAAKTUdatauchwalenialubwydaniaaktu">
    <w:name w:val="DATA_AKTU – data uchwalenia lub wydania aktu"/>
    <w:next w:val="TYTUAKTUprzedmiotregulacjiustawylubrozporzdzenia"/>
    <w:rsid w:val="0094496C"/>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rsid w:val="0094496C"/>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94496C"/>
    <w:rPr>
      <w:bCs/>
    </w:rPr>
  </w:style>
  <w:style w:type="paragraph" w:customStyle="1" w:styleId="OZNRODZAKTUtznustawalubrozporzdzenieiorganwydajcy">
    <w:name w:val="OZN_RODZ_AKTU – tzn. ustawa lub rozporządzenie i organ wydający"/>
    <w:next w:val="DATAAKTUdatauchwalenialubwydaniaaktu"/>
    <w:rsid w:val="0094496C"/>
    <w:pPr>
      <w:keepNext/>
      <w:suppressAutoHyphens/>
      <w:spacing w:after="120" w:line="360" w:lineRule="auto"/>
      <w:jc w:val="center"/>
    </w:pPr>
    <w:rPr>
      <w:rFonts w:ascii="Times" w:eastAsia="Times New Roman" w:hAnsi="Times"/>
      <w:b/>
      <w:bCs/>
      <w:caps/>
      <w:spacing w:val="54"/>
      <w:kern w:val="3"/>
      <w:sz w:val="24"/>
      <w:szCs w:val="24"/>
      <w:lang w:eastAsia="pl-PL"/>
    </w:rPr>
  </w:style>
  <w:style w:type="paragraph" w:customStyle="1" w:styleId="PKTpunkt">
    <w:name w:val="PKT – punkt"/>
    <w:rsid w:val="0094496C"/>
    <w:pPr>
      <w:suppressAutoHyphens/>
      <w:spacing w:after="0" w:line="360" w:lineRule="auto"/>
      <w:ind w:left="510" w:hanging="510"/>
      <w:jc w:val="both"/>
    </w:pPr>
    <w:rPr>
      <w:rFonts w:ascii="Times" w:eastAsia="Times New Roman" w:hAnsi="Times" w:cs="Arial"/>
      <w:bCs/>
      <w:sz w:val="24"/>
      <w:szCs w:val="20"/>
      <w:lang w:eastAsia="pl-PL"/>
    </w:rPr>
  </w:style>
  <w:style w:type="paragraph" w:customStyle="1" w:styleId="ODNONIKtreodnonika">
    <w:name w:val="ODNOŚNIK – treść odnośnika"/>
    <w:rsid w:val="0094496C"/>
    <w:pPr>
      <w:suppressAutoHyphens/>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ARTartustawynprozporzdzenia"/>
    <w:rsid w:val="0094496C"/>
    <w:pPr>
      <w:keepNext/>
      <w:suppressAutoHyphens/>
      <w:spacing w:before="120" w:after="0" w:line="360" w:lineRule="auto"/>
      <w:jc w:val="center"/>
    </w:pPr>
    <w:rPr>
      <w:rFonts w:ascii="Times" w:eastAsia="Times New Roman" w:hAnsi="Times" w:cs="Arial"/>
      <w:bCs/>
      <w:kern w:val="3"/>
      <w:sz w:val="24"/>
      <w:szCs w:val="24"/>
      <w:lang w:eastAsia="pl-PL"/>
    </w:rPr>
  </w:style>
  <w:style w:type="paragraph" w:customStyle="1" w:styleId="OZNPROJEKTUwskazaniedatylubwersjiprojektu">
    <w:name w:val="OZN_PROJEKTU – wskazanie daty lub wersji projektu"/>
    <w:next w:val="OZNRODZAKTUtznustawalubrozporzdzenieiorganwydajcy"/>
    <w:rsid w:val="0094496C"/>
    <w:pPr>
      <w:suppressAutoHyphens/>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rsid w:val="0094496C"/>
    <w:pPr>
      <w:ind w:left="4820"/>
    </w:pPr>
    <w:rPr>
      <w:spacing w:val="0"/>
    </w:rPr>
  </w:style>
  <w:style w:type="character" w:customStyle="1" w:styleId="IGindeksgrny">
    <w:name w:val="_IG_ – indeks górny"/>
    <w:basedOn w:val="Domylnaczcionkaakapitu"/>
    <w:rsid w:val="0094496C"/>
    <w:rPr>
      <w:b w:val="0"/>
      <w:i w:val="0"/>
      <w:vanish w:val="0"/>
      <w:spacing w:val="0"/>
      <w:position w:val="0"/>
      <w:vertAlign w:val="superscript"/>
    </w:rPr>
  </w:style>
  <w:style w:type="character" w:customStyle="1" w:styleId="Ppogrubienie">
    <w:name w:val="_P_ – pogrubienie"/>
    <w:basedOn w:val="Domylnaczcionkaakapitu"/>
    <w:rsid w:val="0094496C"/>
    <w:rPr>
      <w:b/>
    </w:rPr>
  </w:style>
  <w:style w:type="paragraph" w:customStyle="1" w:styleId="CM4">
    <w:name w:val="CM4"/>
    <w:basedOn w:val="Normalny"/>
    <w:next w:val="Normalny"/>
    <w:uiPriority w:val="99"/>
    <w:rsid w:val="0094496C"/>
    <w:pPr>
      <w:widowControl/>
    </w:pPr>
    <w:rPr>
      <w:rFonts w:ascii="Times New Roman" w:hAnsi="Times New Roman"/>
      <w:sz w:val="24"/>
      <w:szCs w:val="24"/>
    </w:rPr>
  </w:style>
  <w:style w:type="character" w:styleId="Pogrubienie">
    <w:name w:val="Strong"/>
    <w:basedOn w:val="Domylnaczcionkaakapitu"/>
    <w:uiPriority w:val="22"/>
    <w:qFormat/>
    <w:rsid w:val="0094496C"/>
    <w:rPr>
      <w:rFonts w:cs="Times New Roman"/>
      <w:b/>
    </w:rPr>
  </w:style>
  <w:style w:type="character" w:customStyle="1" w:styleId="Kkursywa">
    <w:name w:val="_K_ – kursywa"/>
    <w:basedOn w:val="Domylnaczcionkaakapitu"/>
    <w:uiPriority w:val="1"/>
    <w:qFormat/>
    <w:rsid w:val="00070BB1"/>
    <w:rPr>
      <w:i/>
    </w:rPr>
  </w:style>
  <w:style w:type="paragraph" w:styleId="Tekstdymka">
    <w:name w:val="Balloon Text"/>
    <w:basedOn w:val="Normalny"/>
    <w:link w:val="TekstdymkaZnak"/>
    <w:uiPriority w:val="99"/>
    <w:semiHidden/>
    <w:unhideWhenUsed/>
    <w:rsid w:val="009747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7B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2549</Words>
  <Characters>15295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Porzycka Magdalena</dc:creator>
  <cp:lastModifiedBy>Babiak Agnieszka</cp:lastModifiedBy>
  <cp:revision>2</cp:revision>
  <cp:lastPrinted>2019-03-27T07:54:00Z</cp:lastPrinted>
  <dcterms:created xsi:type="dcterms:W3CDTF">2019-03-28T09:06:00Z</dcterms:created>
  <dcterms:modified xsi:type="dcterms:W3CDTF">2019-03-28T09:06:00Z</dcterms:modified>
</cp:coreProperties>
</file>