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2" w:rsidRPr="00D85ECA" w:rsidRDefault="00EA1D42" w:rsidP="00EA1D42">
      <w:pPr>
        <w:spacing w:after="200"/>
        <w:jc w:val="center"/>
        <w:rPr>
          <w:b/>
        </w:rPr>
      </w:pPr>
      <w:bookmarkStart w:id="0" w:name="_GoBack"/>
      <w:bookmarkEnd w:id="0"/>
      <w:r w:rsidRPr="00D85ECA">
        <w:rPr>
          <w:b/>
        </w:rPr>
        <w:t>Ocen</w:t>
      </w:r>
      <w:r>
        <w:rPr>
          <w:b/>
        </w:rPr>
        <w:t>a</w:t>
      </w:r>
      <w:r w:rsidRPr="00D85ECA">
        <w:rPr>
          <w:b/>
        </w:rPr>
        <w:t xml:space="preserve">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201"/>
        <w:gridCol w:w="374"/>
        <w:gridCol w:w="868"/>
        <w:gridCol w:w="287"/>
        <w:gridCol w:w="138"/>
        <w:gridCol w:w="369"/>
        <w:gridCol w:w="68"/>
        <w:gridCol w:w="68"/>
        <w:gridCol w:w="505"/>
        <w:gridCol w:w="150"/>
        <w:gridCol w:w="94"/>
        <w:gridCol w:w="259"/>
        <w:gridCol w:w="447"/>
        <w:gridCol w:w="59"/>
        <w:gridCol w:w="505"/>
        <w:gridCol w:w="170"/>
        <w:gridCol w:w="64"/>
        <w:gridCol w:w="271"/>
        <w:gridCol w:w="101"/>
        <w:gridCol w:w="404"/>
        <w:gridCol w:w="23"/>
        <w:gridCol w:w="482"/>
        <w:gridCol w:w="318"/>
        <w:gridCol w:w="189"/>
        <w:gridCol w:w="507"/>
        <w:gridCol w:w="107"/>
        <w:gridCol w:w="1274"/>
      </w:tblGrid>
      <w:tr w:rsidR="00EA1D42" w:rsidRPr="007D6850" w:rsidTr="000E387A">
        <w:trPr>
          <w:trHeight w:val="1611"/>
        </w:trPr>
        <w:tc>
          <w:tcPr>
            <w:tcW w:w="30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jc w:val="left"/>
            </w:pPr>
            <w:bookmarkStart w:id="1" w:name="t1"/>
            <w:r w:rsidRPr="007D6850">
              <w:rPr>
                <w:b/>
                <w:sz w:val="22"/>
              </w:rPr>
              <w:t>Nazwa projektu</w:t>
            </w:r>
          </w:p>
          <w:p w:rsidR="00EA1D42" w:rsidRPr="007D6850" w:rsidRDefault="00EA1D42" w:rsidP="000E387A">
            <w:pPr>
              <w:rPr>
                <w:i/>
              </w:rPr>
            </w:pPr>
            <w:r w:rsidRPr="007D6850">
              <w:rPr>
                <w:sz w:val="22"/>
              </w:rPr>
              <w:t>Projekt rozporządzenia Ministra Infrastruktury i Budownictwa w sprawie wymagań technicznych i eksploatacyjnych dla lotnisk użytku publicznego podlegających obowiązkowi certyfikacji</w:t>
            </w:r>
          </w:p>
          <w:p w:rsidR="00EA1D42" w:rsidRPr="007D6850" w:rsidRDefault="00EA1D42" w:rsidP="000E387A">
            <w:pPr>
              <w:ind w:hanging="45"/>
              <w:rPr>
                <w:b/>
              </w:rPr>
            </w:pPr>
            <w:r w:rsidRPr="007D6850">
              <w:rPr>
                <w:b/>
                <w:sz w:val="22"/>
              </w:rPr>
              <w:t>Ministerstwo wiodące i ministerstwa współpracujące</w:t>
            </w:r>
            <w:bookmarkEnd w:id="1"/>
          </w:p>
          <w:p w:rsidR="00EA1D42" w:rsidRPr="007D6850" w:rsidRDefault="00EA1D42" w:rsidP="000E387A">
            <w:r w:rsidRPr="007D6850">
              <w:rPr>
                <w:sz w:val="22"/>
              </w:rPr>
              <w:t>Ministerstwo Infrastruktury i Budownictwa</w:t>
            </w:r>
          </w:p>
          <w:p w:rsidR="00EA1D42" w:rsidRPr="007D6850" w:rsidRDefault="00EA1D42" w:rsidP="000E387A">
            <w:pPr>
              <w:rPr>
                <w:b/>
              </w:rPr>
            </w:pPr>
            <w:r w:rsidRPr="007D6850">
              <w:rPr>
                <w:b/>
                <w:sz w:val="22"/>
              </w:rPr>
              <w:t>Osoba odpowiedzialna za projekt w randze Ministra, Sekretarza Stanu lub Podsekretarza Stanu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t xml:space="preserve">Marek Chodkiewicz, Podsekretarz Stanu </w:t>
            </w:r>
          </w:p>
          <w:p w:rsidR="00EA1D42" w:rsidRPr="007D6850" w:rsidRDefault="00EA1D42" w:rsidP="000E387A">
            <w:pPr>
              <w:spacing w:before="120"/>
              <w:ind w:hanging="45"/>
              <w:rPr>
                <w:b/>
              </w:rPr>
            </w:pPr>
            <w:r w:rsidRPr="007D6850">
              <w:rPr>
                <w:b/>
                <w:sz w:val="22"/>
              </w:rPr>
              <w:t>Kontakt do opiekuna merytorycznego projektu</w:t>
            </w:r>
          </w:p>
          <w:p w:rsidR="00EA1D42" w:rsidRPr="007D6850" w:rsidRDefault="00EA1D42" w:rsidP="000E387A">
            <w:pPr>
              <w:ind w:left="25"/>
            </w:pPr>
            <w:r w:rsidRPr="007D6850">
              <w:t>Anita Grabowska-</w:t>
            </w:r>
            <w:proofErr w:type="spellStart"/>
            <w:r w:rsidRPr="007D6850">
              <w:t>Wlaź</w:t>
            </w:r>
            <w:proofErr w:type="spellEnd"/>
            <w:r w:rsidRPr="007D6850">
              <w:t xml:space="preserve">, Radca Ministra, Departament Lotnictwa (tel. 226301322, e-mail:  </w:t>
            </w:r>
            <w:hyperlink r:id="rId8" w:history="1">
              <w:r w:rsidRPr="007D6850">
                <w:rPr>
                  <w:rStyle w:val="Hipercze"/>
                </w:rPr>
                <w:t>anita.grabowska-wlaz@mib.gov.pl</w:t>
              </w:r>
            </w:hyperlink>
            <w:r w:rsidRPr="007D6850">
              <w:t>)</w:t>
            </w:r>
          </w:p>
          <w:p w:rsidR="00EA1D42" w:rsidRPr="007D6850" w:rsidRDefault="00EA1D42" w:rsidP="000E387A">
            <w:pPr>
              <w:ind w:left="25"/>
            </w:pPr>
            <w:r w:rsidRPr="007D6850">
              <w:t xml:space="preserve">Michał Stokowski, główny specjalista, Departament Prawno-Legislacyjny ULC, (tel. 225207502, email: </w:t>
            </w:r>
            <w:hyperlink r:id="rId9" w:history="1">
              <w:r w:rsidRPr="007D6850">
                <w:rPr>
                  <w:rStyle w:val="Hipercze"/>
                </w:rPr>
                <w:t>mstokowski@ulc.gov.pl</w:t>
              </w:r>
            </w:hyperlink>
            <w:r w:rsidRPr="007D6850">
              <w:t xml:space="preserve"> )</w:t>
            </w:r>
          </w:p>
          <w:p w:rsidR="00EA1D42" w:rsidRPr="007D6850" w:rsidRDefault="00EA1D42" w:rsidP="000E387A">
            <w:pPr>
              <w:ind w:left="25"/>
            </w:pPr>
          </w:p>
        </w:tc>
        <w:tc>
          <w:tcPr>
            <w:tcW w:w="19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jc w:val="left"/>
              <w:rPr>
                <w:b/>
              </w:rPr>
            </w:pPr>
            <w:r w:rsidRPr="007D6850">
              <w:rPr>
                <w:b/>
                <w:sz w:val="22"/>
              </w:rPr>
              <w:t>Data sporządzenia</w:t>
            </w:r>
            <w:r w:rsidRPr="007D6850">
              <w:rPr>
                <w:b/>
                <w:sz w:val="22"/>
              </w:rPr>
              <w:br/>
            </w:r>
            <w:r w:rsidRPr="007D6850">
              <w:rPr>
                <w:sz w:val="22"/>
              </w:rPr>
              <w:t>03.11.2017</w:t>
            </w:r>
          </w:p>
          <w:p w:rsidR="00EA1D42" w:rsidRPr="007D6850" w:rsidRDefault="00EA1D42" w:rsidP="000E387A">
            <w:pPr>
              <w:jc w:val="left"/>
              <w:rPr>
                <w:b/>
              </w:rPr>
            </w:pPr>
          </w:p>
          <w:p w:rsidR="00EA1D42" w:rsidRPr="007D6850" w:rsidRDefault="00EA1D42" w:rsidP="000E387A">
            <w:pPr>
              <w:jc w:val="left"/>
              <w:rPr>
                <w:b/>
              </w:rPr>
            </w:pPr>
            <w:r w:rsidRPr="007D6850">
              <w:rPr>
                <w:b/>
                <w:sz w:val="22"/>
              </w:rPr>
              <w:t xml:space="preserve">Źródło: </w:t>
            </w:r>
            <w:bookmarkStart w:id="2" w:name="Lista1"/>
            <w:bookmarkEnd w:id="2"/>
          </w:p>
          <w:p w:rsidR="00EA1D42" w:rsidRPr="007D6850" w:rsidRDefault="00EA1D42" w:rsidP="000E387A">
            <w:pPr>
              <w:spacing w:line="240" w:lineRule="auto"/>
            </w:pPr>
            <w:r w:rsidRPr="007D6850">
              <w:t>art. 59a ust. 5 ustawy z dnia 3 lipca 2002 r. – Prawo lotnicze (</w:t>
            </w:r>
            <w:r w:rsidRPr="007D6850">
              <w:rPr>
                <w:rFonts w:ascii="Times" w:eastAsia="Times New Roman" w:hAnsi="Times" w:cs="Arial"/>
                <w:szCs w:val="20"/>
                <w:lang w:eastAsia="pl-PL"/>
              </w:rPr>
              <w:t>Dz. U. z 2017 r. poz. 959 i 1089</w:t>
            </w:r>
            <w:r w:rsidRPr="007D6850">
              <w:t>)</w:t>
            </w:r>
          </w:p>
          <w:p w:rsidR="00EA1D42" w:rsidRPr="007D6850" w:rsidRDefault="00EA1D42" w:rsidP="000E387A">
            <w:pPr>
              <w:jc w:val="left"/>
            </w:pPr>
          </w:p>
          <w:p w:rsidR="00EA1D42" w:rsidRPr="007D6850" w:rsidRDefault="00EA1D42" w:rsidP="000E387A">
            <w:pPr>
              <w:spacing w:before="120"/>
              <w:jc w:val="left"/>
              <w:rPr>
                <w:b/>
              </w:rPr>
            </w:pPr>
            <w:r w:rsidRPr="007D6850">
              <w:rPr>
                <w:b/>
                <w:sz w:val="22"/>
              </w:rPr>
              <w:t xml:space="preserve">Nr w wykazie prac legislacyjnych </w:t>
            </w:r>
            <w:proofErr w:type="spellStart"/>
            <w:r w:rsidRPr="007D6850">
              <w:rPr>
                <w:b/>
                <w:sz w:val="22"/>
              </w:rPr>
              <w:t>MIiB</w:t>
            </w:r>
            <w:proofErr w:type="spellEnd"/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t>101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ind w:left="57"/>
              <w:jc w:val="center"/>
              <w:rPr>
                <w:b/>
              </w:rPr>
            </w:pPr>
            <w:r w:rsidRPr="007D6850">
              <w:rPr>
                <w:b/>
                <w:sz w:val="32"/>
                <w:szCs w:val="32"/>
              </w:rPr>
              <w:t>OCENA SKUTKÓW REGULACJI</w:t>
            </w:r>
          </w:p>
        </w:tc>
      </w:tr>
      <w:tr w:rsidR="00EA1D42" w:rsidRPr="007D6850" w:rsidTr="000E387A">
        <w:trPr>
          <w:trHeight w:val="33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t>Jaki problem jest rozwiązywany?</w:t>
            </w:r>
            <w:bookmarkStart w:id="3" w:name="Wybór1"/>
            <w:bookmarkEnd w:id="3"/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120" w:line="288" w:lineRule="auto"/>
            </w:pPr>
            <w:r w:rsidRPr="007D6850">
              <w:rPr>
                <w:sz w:val="22"/>
              </w:rPr>
              <w:t xml:space="preserve">Obowiązujące rozporządzenie Ministra Transportu, Budownictwa i Gospodarki Morskiej z dnia 28 sierpnia 2013 r. </w:t>
            </w:r>
            <w:r w:rsidRPr="007D6850">
              <w:rPr>
                <w:i/>
                <w:sz w:val="22"/>
              </w:rPr>
              <w:t>w sprawie wymagań technicznych i eksploatacyjnych dla lotnisk użytku publicznego podlegających obowiązkowi certyfikacji</w:t>
            </w:r>
            <w:r w:rsidRPr="007D6850">
              <w:rPr>
                <w:sz w:val="22"/>
              </w:rPr>
              <w:t xml:space="preserve"> (Dz. U. poz. 1020), które określa wymagania techniczne i eksploatacyjne dla lotnisk użytku publicznego podlegających obowiązkowi certyfikacji, nie uwzględnia zmian wprowadzonych do Załącznika 14 do Konwencji o międzynarodowym lotnictwie cywilnym, sporządzonej w Chicago dnia 7 grudnia 1944 r. (Dz. U. z 1959 r. poz. 212 i 214, z </w:t>
            </w:r>
            <w:proofErr w:type="spellStart"/>
            <w:r w:rsidRPr="007D6850">
              <w:rPr>
                <w:sz w:val="22"/>
              </w:rPr>
              <w:t>późn</w:t>
            </w:r>
            <w:proofErr w:type="spellEnd"/>
            <w:r w:rsidRPr="007D6850">
              <w:rPr>
                <w:sz w:val="22"/>
              </w:rPr>
              <w:t>. zm.), zwanej dalej „Konwencją chicagowską”, przez Radę Organizacji Międzynarodowego Lotnictwa Cywilnego (ICAO) w wersji z 2013 r. Istnieje brak doprecyzowania zakresu stosowania tego rozporządzenia w związku z wejściem w życie przepisów unijnych dotyczących certyfikacji lotnisk.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autoSpaceDN w:val="0"/>
              <w:spacing w:before="60" w:after="60" w:line="288" w:lineRule="auto"/>
              <w:ind w:left="460" w:hanging="426"/>
              <w:rPr>
                <w:b/>
              </w:rPr>
            </w:pPr>
            <w:r w:rsidRPr="007D6850">
              <w:rPr>
                <w:b/>
                <w:spacing w:val="-2"/>
                <w:sz w:val="22"/>
              </w:rPr>
              <w:t>Rekomendowane rozwiązanie, w tym planowane narzędzia interwencji, i oczekiwany efekt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spacing w:before="120"/>
              <w:rPr>
                <w:i/>
                <w:spacing w:val="-2"/>
              </w:rPr>
            </w:pPr>
            <w:r w:rsidRPr="007D6850">
              <w:rPr>
                <w:sz w:val="22"/>
              </w:rPr>
              <w:t xml:space="preserve">Uchylenie dotychczas obowiązującego rozporządzenia Ministra Transportu, Budownictwa i Gospodarki Morskiej z dnia 28 sierpnia 2013 r. </w:t>
            </w:r>
            <w:r w:rsidRPr="007D6850">
              <w:rPr>
                <w:i/>
                <w:sz w:val="22"/>
              </w:rPr>
              <w:t>w sprawie wymagań technicznych i eksploatacyjnych dla lotnisk użytku publicznego podlegających obowiązkowi certyfikacji</w:t>
            </w:r>
            <w:r w:rsidRPr="007D6850">
              <w:rPr>
                <w:sz w:val="22"/>
              </w:rPr>
              <w:t xml:space="preserve"> wydanego na podstawie art. 59a ust. 5 ustawy - Prawo lotnicze oraz wydanie nowego rozporządzenia Ministra Infrastruktury i Budownictwa </w:t>
            </w:r>
            <w:r w:rsidRPr="007D6850">
              <w:rPr>
                <w:i/>
                <w:sz w:val="22"/>
              </w:rPr>
              <w:t>w sprawie wymagań technicznych i eksploatacyjnych dla lotnisk użytku publicznego podlegających obowiązkowi certyfikacji.</w:t>
            </w:r>
            <w:r w:rsidRPr="007D6850">
              <w:rPr>
                <w:i/>
                <w:spacing w:val="-2"/>
              </w:rPr>
              <w:t xml:space="preserve"> </w:t>
            </w:r>
            <w:r w:rsidRPr="007D6850">
              <w:rPr>
                <w:spacing w:val="-2"/>
                <w:sz w:val="22"/>
              </w:rPr>
              <w:t xml:space="preserve">Zmiany w projekcie w odniesieniu do obowiązującego rozporządzenia dotyczą większości przepisów, dlatego proponuje się wydanie nowego rozporządzenia </w:t>
            </w:r>
            <w:r w:rsidRPr="007D6850">
              <w:rPr>
                <w:sz w:val="22"/>
              </w:rPr>
              <w:t xml:space="preserve">Ministra Infrastruktury i Budownictwa </w:t>
            </w:r>
            <w:r w:rsidRPr="007D6850">
              <w:rPr>
                <w:i/>
                <w:spacing w:val="-2"/>
                <w:sz w:val="22"/>
              </w:rPr>
              <w:t>w sprawie wymagań technicznych i eksploatacyjnych dla lotnisk użytku publicznego podlegających obowiązkowi certyfikacji</w:t>
            </w:r>
            <w:r w:rsidRPr="007D6850">
              <w:rPr>
                <w:spacing w:val="-2"/>
                <w:sz w:val="22"/>
              </w:rPr>
              <w:t>.</w:t>
            </w:r>
          </w:p>
        </w:tc>
      </w:tr>
      <w:tr w:rsidR="00EA1D42" w:rsidRPr="007D6850" w:rsidTr="000E387A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pacing w:val="-2"/>
                <w:sz w:val="22"/>
              </w:rPr>
              <w:lastRenderedPageBreak/>
              <w:t>Jak problem został rozwiązany w innych krajach, w szczególności krajach członkowskich OECD/UE</w:t>
            </w:r>
            <w:r w:rsidRPr="007D6850">
              <w:rPr>
                <w:b/>
                <w:sz w:val="22"/>
              </w:rPr>
              <w:t>?</w:t>
            </w:r>
            <w:r w:rsidRPr="007D6850">
              <w:rPr>
                <w:i/>
                <w:sz w:val="22"/>
              </w:rPr>
              <w:t xml:space="preserve"> 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D85ECA" w:rsidRDefault="00EA1D42" w:rsidP="000E387A">
            <w:pPr>
              <w:pStyle w:val="Default"/>
              <w:spacing w:before="120" w:after="120" w:line="288" w:lineRule="auto"/>
              <w:jc w:val="both"/>
              <w:rPr>
                <w:color w:val="auto"/>
                <w:sz w:val="22"/>
                <w:szCs w:val="22"/>
              </w:rPr>
            </w:pPr>
            <w:r w:rsidRPr="00D85ECA">
              <w:rPr>
                <w:color w:val="auto"/>
                <w:sz w:val="22"/>
                <w:szCs w:val="22"/>
              </w:rPr>
              <w:t xml:space="preserve">Zgodnie z art. 37 Konwencji chicagowskiej wszystkie Państwa należące do ICAO (188) są zobowiązane do wdrożenia, w możliwie największym zakresie, norm i zalecanych metod postępowania zawartych w Załącznikach do Konwencji chicagowskiej oraz </w:t>
            </w:r>
            <w:r>
              <w:rPr>
                <w:color w:val="auto"/>
                <w:sz w:val="22"/>
                <w:szCs w:val="22"/>
              </w:rPr>
              <w:t xml:space="preserve">w zmianach </w:t>
            </w:r>
            <w:r w:rsidRPr="00D85ECA">
              <w:rPr>
                <w:color w:val="auto"/>
                <w:sz w:val="22"/>
                <w:szCs w:val="22"/>
              </w:rPr>
              <w:t xml:space="preserve">wprowadzanych przez ICAO. Sposób wdrożenia w poszczególnych krajach różni się ze względu na systemy i kulturę prawną. Niemniej jednak wszystkie kraje wdrożyły większość norm i zaleceń Załącznika 14 do Konwencji chicagowskiej i powiadomiły ICAO o istniejących różnicach, zgodnie z obowiązkiem </w:t>
            </w:r>
            <w:r>
              <w:rPr>
                <w:color w:val="auto"/>
                <w:sz w:val="22"/>
                <w:szCs w:val="22"/>
              </w:rPr>
              <w:t xml:space="preserve">zawartym </w:t>
            </w:r>
            <w:r w:rsidRPr="00D85ECA">
              <w:rPr>
                <w:color w:val="auto"/>
                <w:sz w:val="22"/>
                <w:szCs w:val="22"/>
              </w:rPr>
              <w:t>w art. 38 Konwencji</w:t>
            </w:r>
            <w:r>
              <w:rPr>
                <w:color w:val="auto"/>
                <w:sz w:val="22"/>
                <w:szCs w:val="22"/>
              </w:rPr>
              <w:t xml:space="preserve"> chicagowskiej</w:t>
            </w:r>
            <w:r w:rsidRPr="00D85ECA">
              <w:rPr>
                <w:color w:val="auto"/>
                <w:sz w:val="22"/>
                <w:szCs w:val="22"/>
              </w:rPr>
              <w:t>.</w:t>
            </w:r>
          </w:p>
        </w:tc>
      </w:tr>
      <w:tr w:rsidR="00EA1D42" w:rsidRPr="007D6850" w:rsidTr="000E387A">
        <w:trPr>
          <w:trHeight w:val="35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t>Podmioty, na które oddziałuje projekt</w:t>
            </w:r>
          </w:p>
        </w:tc>
      </w:tr>
      <w:tr w:rsidR="00EA1D42" w:rsidRPr="007D6850" w:rsidTr="000E387A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>Grupa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>Wielkość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>Źródło danych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>Oddziaływanie</w:t>
            </w:r>
          </w:p>
        </w:tc>
      </w:tr>
      <w:tr w:rsidR="00EA1D42" w:rsidRPr="007D6850" w:rsidTr="000E387A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Prezes Urzędu Lotnictwa Cywilnego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1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Dane własne Urzędu Lotnictwa Cywilnego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Bez zmian</w:t>
            </w:r>
          </w:p>
        </w:tc>
      </w:tr>
      <w:tr w:rsidR="00EA1D42" w:rsidRPr="007D6850" w:rsidTr="000E387A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r w:rsidRPr="007D6850">
              <w:rPr>
                <w:sz w:val="22"/>
              </w:rPr>
              <w:t>Lotniska certyfikowane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(operatorzy lotnisk)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jc w:val="left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Lotniska użytku publicznego posiadające certyfikat wydany zgodnie z przepisami rozporządzenia nr 216/2008/WE.</w:t>
            </w:r>
          </w:p>
          <w:p w:rsidR="00EA1D42" w:rsidRPr="007D6850" w:rsidRDefault="00EA1D42" w:rsidP="000E387A">
            <w:pPr>
              <w:jc w:val="left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Lotniska użytku publicznego, które otrzymały zezwolenie, o którym mowa w art. 4 ust. 3b rozporządzenia 216/2008/WE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Rejestr lotnisk cywilnych i rejestr certyfikatów wydanych przez Prezesa Urzędu Lotnictwa Cywilnego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Konieczność dostosowania lotnisk do nowych wymagań technicznych i eksploatacyjnych</w:t>
            </w:r>
          </w:p>
        </w:tc>
      </w:tr>
      <w:tr w:rsidR="00EA1D42" w:rsidRPr="007D6850" w:rsidTr="000E387A">
        <w:trPr>
          <w:trHeight w:val="30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t>Informacje na temat zakresu, czasu trwania i podsumowanie wyników konsultacji</w:t>
            </w:r>
          </w:p>
        </w:tc>
      </w:tr>
      <w:tr w:rsidR="00EA1D42" w:rsidRPr="007D6850" w:rsidTr="000E38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spacing w:before="60" w:after="60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Konsultacje publiczne zostaną przeprowadzone zgodnie z trybem przewidzianym w Regulaminie Pracy Rady Ministrów i obejmą następujące podmioty: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 xml:space="preserve">Przedsiębiorstwo Państwowe „Porty Lotnicze”, ul. Żwirki i Wigury 1, 00-906 Warszawa; 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Gdańsk im. Lecha Wałęsy, ul. Słowackiego 200, 80-298 Gdańsk;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Międzynarodowy Port Lotniczy Katowice w Pyrzowicach, ul. Wolności 90, 42-625 Ożarowice;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 xml:space="preserve">Międzynarodowy Port Lotniczy im. Jana Pawła II, ul. Kpt. M. </w:t>
            </w:r>
            <w:proofErr w:type="spellStart"/>
            <w:r w:rsidRPr="007D6850">
              <w:rPr>
                <w:sz w:val="22"/>
                <w:lang w:val="pl-PL"/>
              </w:rPr>
              <w:t>Medweckiego</w:t>
            </w:r>
            <w:proofErr w:type="spellEnd"/>
            <w:r w:rsidRPr="007D6850">
              <w:rPr>
                <w:sz w:val="22"/>
                <w:lang w:val="pl-PL"/>
              </w:rPr>
              <w:t xml:space="preserve"> 1, 32-083 Balice;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Poznań-Ławica, ul. Bukowska 285, 60-189 Poznań;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Łódź im. Władysława Reymonta, ul. Gen. S. Maczka 35, 94-328 Łódź;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„Rzeszów - Jasionka”, Jasionka 942, 36-002 Jasionka;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Szczecin - Goleniów, Glewice, 72-100 Goleniów;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Wrocław S.A., ul. Graniczna 190, 54-530 Wrocław;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Zielona Góra - Babimost, skr. poczt. 4, 66-110 Babimost;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 xml:space="preserve">Port Lotniczy Warszawa - Modlin, ul. Gen. W. </w:t>
            </w:r>
            <w:proofErr w:type="spellStart"/>
            <w:r w:rsidRPr="007D6850">
              <w:rPr>
                <w:sz w:val="22"/>
                <w:lang w:val="pl-PL"/>
              </w:rPr>
              <w:t>Thommee</w:t>
            </w:r>
            <w:proofErr w:type="spellEnd"/>
            <w:r w:rsidRPr="007D6850">
              <w:rPr>
                <w:sz w:val="22"/>
                <w:lang w:val="pl-PL"/>
              </w:rPr>
              <w:t xml:space="preserve"> 1A, 05-105 Nowy Dwór Mazowiecki;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lastRenderedPageBreak/>
              <w:t>Port Lotniczy Lublin SA, ul. Króla Jana III Sobieskiego 1, 21-040 Świdnik;</w:t>
            </w:r>
          </w:p>
          <w:p w:rsidR="00EA1D42" w:rsidRPr="00D85ECA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bCs/>
                <w:lang w:val="pl-PL"/>
              </w:rPr>
            </w:pPr>
            <w:r w:rsidRPr="007D6850">
              <w:rPr>
                <w:sz w:val="22"/>
                <w:lang w:val="pl-PL"/>
              </w:rPr>
              <w:t>Port Lotniczy Radom S.A., ul. Żeromskiego 53, 26-600 Radom;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</w:t>
            </w:r>
            <w:r w:rsidRPr="00D85ECA">
              <w:rPr>
                <w:bCs/>
                <w:sz w:val="22"/>
                <w:lang w:val="pl-PL"/>
              </w:rPr>
              <w:t xml:space="preserve"> Lotniczy Szczytno-Mazury, Szymany 150, 12-100 Szczytno;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Port Lotniczy Bydgoszcz SA, ul. Paderewskiego 1, 86-005 Białe Błota; fax: 52 365 46 19;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Związek Regionalnych Portów Lotniczych, Al. Korfantego 38, 40-161 Katowice;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 xml:space="preserve">Stowarzyszenie „Inicjatywa dla Infrastruktury”, </w:t>
            </w:r>
            <w:r w:rsidRPr="007D6850">
              <w:rPr>
                <w:sz w:val="22"/>
                <w:shd w:val="clear" w:color="auto" w:fill="FFFFFF"/>
                <w:lang w:val="pl-PL"/>
              </w:rPr>
              <w:t>Pl. Bankowy 2, 00-095 Warszawa;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Stowarzyszenie Polskich Kontrolerów Ruchu Lotniczego POLATCA, ul. Wieżowa 8 lok. C104;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Polska Agencja Żeglugi Powietrznej, ul. Wieżowa 8, 02-147 Warszawa;</w:t>
            </w:r>
          </w:p>
          <w:p w:rsidR="00EA1D42" w:rsidRPr="007D6850" w:rsidRDefault="00EA1D42" w:rsidP="00EA1D4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lang w:val="pl-PL"/>
              </w:rPr>
            </w:pPr>
            <w:r w:rsidRPr="007D6850">
              <w:rPr>
                <w:sz w:val="22"/>
                <w:lang w:val="pl-PL"/>
              </w:rPr>
              <w:t>Aeroklub Polski, ul. 17 Stycznia 39, 00-906 Warszawa.</w:t>
            </w:r>
          </w:p>
          <w:p w:rsidR="00EA1D42" w:rsidRPr="007D6850" w:rsidRDefault="00EA1D42" w:rsidP="000E387A">
            <w:pPr>
              <w:tabs>
                <w:tab w:val="left" w:pos="709"/>
              </w:tabs>
              <w:spacing w:after="60" w:line="288" w:lineRule="auto"/>
              <w:jc w:val="left"/>
            </w:pPr>
            <w:r w:rsidRPr="007D6850">
              <w:t xml:space="preserve">Wyniki z przeprowadzonych konsultacji publicznych zostaną omówione w raporcie z konsultacji publicznych dołączonym do projektu. </w:t>
            </w:r>
          </w:p>
        </w:tc>
      </w:tr>
      <w:tr w:rsidR="00EA1D42" w:rsidRPr="007D6850" w:rsidTr="000E387A">
        <w:trPr>
          <w:trHeight w:val="36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lastRenderedPageBreak/>
              <w:t xml:space="preserve"> Wpływ na sektor finansów publicznych</w:t>
            </w:r>
          </w:p>
        </w:tc>
      </w:tr>
      <w:tr w:rsidR="00EA1D42" w:rsidRPr="007D6850" w:rsidTr="000E387A">
        <w:trPr>
          <w:trHeight w:val="142"/>
        </w:trPr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after="40" w:line="288" w:lineRule="auto"/>
              <w:rPr>
                <w:i/>
              </w:rPr>
            </w:pPr>
            <w:r w:rsidRPr="007D6850">
              <w:rPr>
                <w:sz w:val="22"/>
              </w:rPr>
              <w:t>(ceny stałe z 2014 r.)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after="40" w:line="288" w:lineRule="auto"/>
              <w:rPr>
                <w:i/>
                <w:spacing w:val="-2"/>
              </w:rPr>
            </w:pPr>
            <w:r w:rsidRPr="007D6850">
              <w:rPr>
                <w:sz w:val="22"/>
              </w:rPr>
              <w:t>Skutki w okresie 10 lat od wejścia w życie zmian [mln zł]</w:t>
            </w:r>
          </w:p>
        </w:tc>
      </w:tr>
      <w:tr w:rsidR="00EA1D42" w:rsidRPr="007D6850" w:rsidTr="000E387A">
        <w:trPr>
          <w:trHeight w:val="142"/>
        </w:trPr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2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10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before="40" w:after="40" w:line="288" w:lineRule="auto"/>
              <w:ind w:left="-95" w:right="-143"/>
              <w:jc w:val="center"/>
              <w:rPr>
                <w:i/>
                <w:spacing w:val="-2"/>
              </w:rPr>
            </w:pPr>
            <w:r w:rsidRPr="007D6850">
              <w:rPr>
                <w:i/>
                <w:spacing w:val="-2"/>
                <w:sz w:val="22"/>
              </w:rPr>
              <w:t>Łącznie (0-10)</w:t>
            </w:r>
          </w:p>
        </w:tc>
      </w:tr>
      <w:tr w:rsidR="00EA1D42" w:rsidRPr="007D6850" w:rsidTr="000E387A">
        <w:trPr>
          <w:trHeight w:val="32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b/>
                <w:sz w:val="22"/>
              </w:rPr>
              <w:t>Dochody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0</w:t>
            </w:r>
          </w:p>
        </w:tc>
      </w:tr>
      <w:tr w:rsidR="00EA1D42" w:rsidRPr="007D6850" w:rsidTr="000E387A">
        <w:trPr>
          <w:trHeight w:val="32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0</w:t>
            </w:r>
          </w:p>
        </w:tc>
      </w:tr>
      <w:tr w:rsidR="00EA1D42" w:rsidRPr="007D6850" w:rsidTr="000E387A">
        <w:trPr>
          <w:trHeight w:val="344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44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3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b/>
                <w:sz w:val="22"/>
              </w:rPr>
              <w:t>Wydatki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3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5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5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6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b/>
                <w:sz w:val="22"/>
              </w:rPr>
              <w:t>Saldo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0</w:t>
            </w:r>
          </w:p>
        </w:tc>
      </w:tr>
      <w:tr w:rsidR="00EA1D42" w:rsidRPr="007D6850" w:rsidTr="000E387A">
        <w:trPr>
          <w:trHeight w:val="36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0</w:t>
            </w:r>
          </w:p>
        </w:tc>
      </w:tr>
      <w:tr w:rsidR="00EA1D42" w:rsidRPr="007D6850" w:rsidTr="000E387A">
        <w:trPr>
          <w:trHeight w:val="357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57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</w:tr>
      <w:tr w:rsidR="00EA1D42" w:rsidRPr="007D6850" w:rsidTr="000E387A">
        <w:trPr>
          <w:trHeight w:val="348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 xml:space="preserve">Źródła finansowania 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Nie dotyczy.</w:t>
            </w:r>
          </w:p>
        </w:tc>
      </w:tr>
      <w:tr w:rsidR="00EA1D42" w:rsidRPr="007D6850" w:rsidTr="000E387A"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Dodatkowe informacje, w tym wskazanie źródeł danych i przyjętych do obliczeń założeń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EA1D42" w:rsidRPr="007D6850" w:rsidTr="000E387A">
        <w:trPr>
          <w:trHeight w:val="345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120" w:line="288" w:lineRule="auto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 xml:space="preserve">Wpływ na </w:t>
            </w:r>
            <w:r w:rsidRPr="007D6850">
              <w:rPr>
                <w:b/>
                <w:sz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lastRenderedPageBreak/>
              <w:t>Niniejszy projekt nie ma wpływu na konkurencyjność gospodarki i przedsiębiorczość oraz na rodzinę i gospodarstwa domowe. Dotyczy on tylko lotnisk podlegających obowiązkowi certyfikacji, w tym zwłaszcza ich właścicieli i zarządzających lotniskami.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 xml:space="preserve">Niniejszy projekt jest nowelizacją istniejącego rozporządzenia, z tego względu przy rozpatrywaniu ewentualnych obciążeń finansowych związanych z wdrożeniem nowych wymagań należy brać pod uwagę wyłącznie </w:t>
            </w:r>
            <w:r w:rsidRPr="007D6850">
              <w:rPr>
                <w:b/>
                <w:sz w:val="22"/>
              </w:rPr>
              <w:t>zmiany</w:t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b/>
                <w:sz w:val="22"/>
              </w:rPr>
              <w:t xml:space="preserve">i nowe wymagania </w:t>
            </w:r>
            <w:r w:rsidRPr="007D6850">
              <w:rPr>
                <w:sz w:val="22"/>
              </w:rPr>
              <w:t>wprowadzone w tym projekcie. Jak wspomniano w pkt 3 uzasadnienia są to przede wszystkim zmiany wprowadzone przez ICAO do Załącznika 14 Tom I (od 1 do 13A) i Tom II (od 1 do 7).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Zmiany te nie nakładają na zarządzających lotniskami wymagań, które wiązałyby się z </w:t>
            </w:r>
            <w:r w:rsidRPr="007D6850">
              <w:rPr>
                <w:b/>
                <w:sz w:val="22"/>
              </w:rPr>
              <w:t>poniesieniem</w:t>
            </w:r>
            <w:r w:rsidRPr="007D6850">
              <w:rPr>
                <w:sz w:val="22"/>
              </w:rPr>
              <w:t xml:space="preserve"> dużych nakładów finansowych ani też obowiązku instalowania nowych urządzeń czy rozbudowy infrastruktury lotniskowej.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Tylko niektóre nowe wymagania ICAO wiążą się z pewnymi kosztami, ale zostały one objęte okresem przejściowym do dnia 1 stycznia 2020 r. Wymagania te dotyczą m.in.: bardziej wyrazistego (wzmocnionego) oznakowania linii środkowej drogi kołowania (5.2.8.9), prostych świateł strefy przyziemienia (5.3.14), świateł linii środkowej drogi kołowania (5.3.17.8), świateł ochronnych drogi startowej w układzie A lub B (5.3.23.2) oraz poprzeczek zakazu wjazdu (5.3.29), jeśli dane elementy są stosowane na lotnisku. Należy w tym kontekście dodać, że nie wszystkie lotniska są takie same. Do każdego z lotnisk stosuje się inny zakres wymagań, w zależności od rodzaju lotniska, kodu referencyjnego i rodzaju wykonywanych operacji oraz posiadanej infrastruktury lotniczej.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Pozostałe wymagania zobowiązują do zmiany procedur, zapisów w instrukcji operacyjnej oraz przeszkolenia w tym zakresie zainteresowanego personelu. Natomiast nie powodują one dodatkowych bezpośrednich obciążeń finansowych dla zarządzających lotniskami.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Okresem przejściowym objęto także, wymaganie zawarte w pkt 1.7 Załącznika 14 do Konwencji chicagowskiej tom I, wprowadzone zmianą 12-tą. Dotyczy ono operacji statków powietrznych, które przekraczają certyfikowane charakterystyki lotniska. Okres przejściowy do dnia 1 stycznia 2020 r. umożliwi zarządzającym lotniskami zmianę odpowiednich procedur i stosowanie tych wymagań na lotniskach.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 xml:space="preserve">Wymagania wprowadzane w niniejszym projekcie nie wymagają dużych nakładów finansowych, ale ich wdrożenie na lotniskach wpłynie pozytywne na poprawę bezpieczeństwa i efektywności operacji lotniczych. </w:t>
            </w:r>
          </w:p>
        </w:tc>
      </w:tr>
      <w:tr w:rsidR="00EA1D42" w:rsidRPr="007D6850" w:rsidTr="000E387A">
        <w:trPr>
          <w:trHeight w:val="142"/>
        </w:trPr>
        <w:tc>
          <w:tcPr>
            <w:tcW w:w="1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Czas w latach od wejścia w życie zmian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spacing w:val="-2"/>
              </w:rPr>
            </w:pPr>
            <w:r w:rsidRPr="007D6850">
              <w:rPr>
                <w:i/>
                <w:spacing w:val="-2"/>
                <w:sz w:val="22"/>
              </w:rPr>
              <w:t>Łącznie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spacing w:val="-2"/>
              </w:rPr>
            </w:pPr>
            <w:r w:rsidRPr="007D6850">
              <w:rPr>
                <w:i/>
                <w:spacing w:val="-2"/>
                <w:sz w:val="22"/>
              </w:rPr>
              <w:t>(0-10)</w:t>
            </w:r>
          </w:p>
        </w:tc>
      </w:tr>
      <w:tr w:rsidR="00EA1D42" w:rsidRPr="007D6850" w:rsidTr="000E387A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jc w:val="left"/>
            </w:pPr>
            <w:r w:rsidRPr="007D6850">
              <w:rPr>
                <w:sz w:val="22"/>
              </w:rPr>
              <w:t>W ujęciu pieniężnym</w:t>
            </w:r>
          </w:p>
          <w:p w:rsidR="00EA1D42" w:rsidRPr="007D6850" w:rsidRDefault="00EA1D42" w:rsidP="000E387A">
            <w:pPr>
              <w:jc w:val="left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 xml:space="preserve">(w mln zł, 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pacing w:val="-2"/>
                <w:sz w:val="22"/>
              </w:rPr>
              <w:t>ceny stałe z 2014 r.)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duże przedsiębiorstwa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z w:val="22"/>
              </w:rPr>
              <w:t>―</w:t>
            </w:r>
          </w:p>
        </w:tc>
      </w:tr>
      <w:tr w:rsidR="00EA1D42" w:rsidRPr="007D6850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sektor mikro-, małych i średnich przedsiębiorstw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z w:val="22"/>
              </w:rPr>
              <w:t>―</w:t>
            </w:r>
          </w:p>
        </w:tc>
      </w:tr>
      <w:tr w:rsidR="00EA1D42" w:rsidRPr="007D6850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rodzina, obywatele oraz gospodarstwa domowe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D6850">
              <w:rPr>
                <w:sz w:val="22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</w:rPr>
            </w:pPr>
            <w:r w:rsidRPr="007D6850">
              <w:rPr>
                <w:sz w:val="22"/>
              </w:rPr>
              <w:t>―</w:t>
            </w:r>
          </w:p>
        </w:tc>
      </w:tr>
      <w:tr w:rsidR="00EA1D42" w:rsidRPr="007D6850" w:rsidTr="000E387A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W ujęciu niepieniężnym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duże przedsiębiorstwa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Nie dotyczy.</w:t>
            </w:r>
          </w:p>
        </w:tc>
      </w:tr>
      <w:tr w:rsidR="00EA1D42" w:rsidRPr="007D6850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sektor mikro-, małych i średnich przedsiębiorstw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Nie dotyczy.</w:t>
            </w:r>
          </w:p>
        </w:tc>
      </w:tr>
      <w:tr w:rsidR="00EA1D42" w:rsidRPr="007D6850" w:rsidTr="000E387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tabs>
                <w:tab w:val="right" w:pos="1936"/>
              </w:tabs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 xml:space="preserve">rodzina, obywatele oraz gospodarstwa domowe 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b/>
                <w:spacing w:val="-2"/>
              </w:rPr>
            </w:pPr>
            <w:r w:rsidRPr="007D6850">
              <w:rPr>
                <w:spacing w:val="-2"/>
                <w:sz w:val="22"/>
              </w:rPr>
              <w:t>Nie dotyczy.</w:t>
            </w:r>
          </w:p>
        </w:tc>
      </w:tr>
      <w:tr w:rsidR="00EA1D42" w:rsidRPr="007D6850" w:rsidTr="000E387A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  <w:r w:rsidRPr="007D6850">
              <w:rPr>
                <w:sz w:val="22"/>
              </w:rPr>
              <w:t>Niemierzalne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Nie dotyczy.</w:t>
            </w:r>
          </w:p>
        </w:tc>
      </w:tr>
      <w:tr w:rsidR="00EA1D42" w:rsidRPr="007D6850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jc w:val="left"/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</w:p>
        </w:tc>
      </w:tr>
      <w:tr w:rsidR="00EA1D42" w:rsidRPr="007D6850" w:rsidTr="000E38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</w:p>
        </w:tc>
      </w:tr>
      <w:tr w:rsidR="00EA1D42" w:rsidRPr="007D6850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42" w:rsidRPr="007D6850" w:rsidRDefault="00EA1D42" w:rsidP="000E387A">
            <w:pPr>
              <w:spacing w:line="240" w:lineRule="auto"/>
              <w:jc w:val="left"/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</w:p>
        </w:tc>
      </w:tr>
      <w:tr w:rsidR="00EA1D42" w:rsidRPr="007D6850" w:rsidTr="000E387A"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39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1D42" w:rsidRPr="007D6850" w:rsidRDefault="00EA1D42" w:rsidP="000E387A">
            <w:r w:rsidRPr="007D6850">
              <w:rPr>
                <w:sz w:val="22"/>
              </w:rPr>
              <w:t>Nie dotyczy.</w:t>
            </w:r>
          </w:p>
          <w:p w:rsidR="00EA1D42" w:rsidRPr="007D6850" w:rsidRDefault="00EA1D42" w:rsidP="000E387A"/>
          <w:p w:rsidR="00EA1D42" w:rsidRPr="007D6850" w:rsidRDefault="00EA1D42" w:rsidP="000E387A"/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EA1D42" w:rsidRPr="007D6850" w:rsidTr="000E38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t xml:space="preserve"> Zmiana obciążeń regulacyjnych (w tym obowiązków informacyjnych) wynikających z projektu</w:t>
            </w:r>
          </w:p>
        </w:tc>
      </w:tr>
      <w:tr w:rsidR="00EA1D42" w:rsidRPr="007D6850" w:rsidTr="000E387A">
        <w:trPr>
          <w:trHeight w:val="151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pacing w:val="-2"/>
                <w:sz w:val="22"/>
              </w:rPr>
              <w:t>nie dotyczy</w:t>
            </w:r>
          </w:p>
        </w:tc>
      </w:tr>
      <w:tr w:rsidR="00EA1D42" w:rsidRPr="007D6850" w:rsidTr="000E387A">
        <w:trPr>
          <w:trHeight w:val="946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 xml:space="preserve">Wprowadzane są obciążenia poza bezwzględnie wymaganymi przez UE </w:t>
            </w:r>
            <w:r w:rsidRPr="007D6850">
              <w:rPr>
                <w:sz w:val="22"/>
              </w:rPr>
              <w:t>(szczegóły w odwróconej tabeli zgodności).</w:t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tak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 nie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 nie dotyczy</w:t>
            </w:r>
          </w:p>
        </w:tc>
      </w:tr>
      <w:tr w:rsidR="00EA1D42" w:rsidRPr="007D6850" w:rsidTr="000E387A">
        <w:trPr>
          <w:trHeight w:val="1245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 xml:space="preserve">zmniejszenie liczby dokumentów </w:t>
            </w:r>
          </w:p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zmniejszenie liczby procedur</w:t>
            </w:r>
          </w:p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skrócenie czasu na załatwienie sprawy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b/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inne:</w:t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D6850">
              <w:rPr>
                <w:sz w:val="22"/>
              </w:rPr>
              <w:instrText xml:space="preserve"> FORMTEXT </w:instrText>
            </w:r>
            <w:r w:rsidRPr="007D6850">
              <w:rPr>
                <w:sz w:val="22"/>
              </w:rPr>
            </w:r>
            <w:r w:rsidRPr="007D6850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fldChar w:fldCharType="end"/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zwiększenie liczby dokumentów</w:t>
            </w:r>
          </w:p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zwiększenie liczby procedur</w:t>
            </w:r>
          </w:p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wydłużenie czasu na załatwienie sprawy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</w:t>
            </w:r>
            <w:r w:rsidRPr="007D6850">
              <w:rPr>
                <w:spacing w:val="-2"/>
                <w:sz w:val="22"/>
              </w:rPr>
              <w:t>inne:</w:t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D6850">
              <w:rPr>
                <w:sz w:val="22"/>
              </w:rPr>
              <w:instrText xml:space="preserve"> FORMTEXT </w:instrText>
            </w:r>
            <w:r w:rsidRPr="007D6850">
              <w:rPr>
                <w:sz w:val="22"/>
              </w:rPr>
            </w:r>
            <w:r w:rsidRPr="007D6850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t> </w:t>
            </w:r>
            <w:r w:rsidRPr="007D6850">
              <w:rPr>
                <w:sz w:val="22"/>
              </w:rPr>
              <w:fldChar w:fldCharType="end"/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EA1D42" w:rsidRPr="007D6850" w:rsidTr="000E387A">
        <w:trPr>
          <w:trHeight w:val="870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pacing w:val="-2"/>
                <w:sz w:val="22"/>
              </w:rPr>
              <w:t>Wprowadzane obciążenia są przystosowane do ich elektronizacji.</w:t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tak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nie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 nie dotyczy</w:t>
            </w:r>
          </w:p>
        </w:tc>
      </w:tr>
      <w:tr w:rsidR="00EA1D42" w:rsidRPr="007D6850" w:rsidTr="000E387A">
        <w:trPr>
          <w:trHeight w:val="63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t>Komentarz: Nie dotyczy.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rPr>
                <w:b/>
              </w:rPr>
            </w:pPr>
            <w:r w:rsidRPr="007D6850">
              <w:rPr>
                <w:b/>
                <w:sz w:val="22"/>
              </w:rPr>
              <w:t xml:space="preserve">Wpływ na rynek pracy 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r w:rsidRPr="007D6850">
              <w:rPr>
                <w:sz w:val="22"/>
              </w:rPr>
              <w:t>Projektowana zmiana rozporządzenia nie ma wpływu na rynek pracy.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rPr>
                <w:b/>
              </w:rPr>
            </w:pPr>
            <w:r w:rsidRPr="007D6850">
              <w:rPr>
                <w:b/>
                <w:sz w:val="22"/>
              </w:rPr>
              <w:t>Wpływ na pozostałe obszary</w:t>
            </w:r>
          </w:p>
        </w:tc>
      </w:tr>
      <w:tr w:rsidR="00EA1D42" w:rsidRPr="007D6850" w:rsidTr="000E387A">
        <w:trPr>
          <w:trHeight w:val="1031"/>
        </w:trPr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środowisko naturalne</w:t>
            </w:r>
          </w:p>
          <w:p w:rsidR="00EA1D42" w:rsidRPr="007D6850" w:rsidRDefault="00EA1D42" w:rsidP="000E387A"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sytuacja i rozwój regionalny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pacing w:val="-2"/>
                <w:sz w:val="22"/>
              </w:rPr>
              <w:t xml:space="preserve">inne: </w:t>
            </w:r>
            <w:r w:rsidRPr="007D6850">
              <w:rPr>
                <w:sz w:val="22"/>
              </w:rPr>
              <w:t>nie dotyczy</w:t>
            </w:r>
          </w:p>
        </w:tc>
        <w:tc>
          <w:tcPr>
            <w:tcW w:w="16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pacing w:val="-2"/>
                <w:sz w:val="22"/>
              </w:rPr>
              <w:t>demografia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mienie państwowe</w:t>
            </w:r>
          </w:p>
        </w:tc>
        <w:tc>
          <w:tcPr>
            <w:tcW w:w="1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pacing w:val="-2"/>
                <w:sz w:val="22"/>
              </w:rPr>
              <w:t>informatyzacja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50">
              <w:rPr>
                <w:sz w:val="22"/>
              </w:rPr>
              <w:instrText xml:space="preserve"> FORMCHECKBOX </w:instrText>
            </w:r>
            <w:r w:rsidR="00E1310F">
              <w:rPr>
                <w:sz w:val="22"/>
              </w:rPr>
            </w:r>
            <w:r w:rsidR="00E1310F">
              <w:rPr>
                <w:sz w:val="22"/>
              </w:rPr>
              <w:fldChar w:fldCharType="separate"/>
            </w:r>
            <w:r w:rsidRPr="007D6850">
              <w:rPr>
                <w:sz w:val="22"/>
              </w:rPr>
              <w:fldChar w:fldCharType="end"/>
            </w:r>
            <w:r w:rsidRPr="007D6850">
              <w:rPr>
                <w:sz w:val="22"/>
              </w:rPr>
              <w:t xml:space="preserve"> </w:t>
            </w:r>
            <w:r w:rsidRPr="007D6850">
              <w:rPr>
                <w:spacing w:val="-2"/>
                <w:sz w:val="22"/>
              </w:rPr>
              <w:t>zdrowie</w:t>
            </w:r>
          </w:p>
        </w:tc>
      </w:tr>
      <w:tr w:rsidR="00EA1D42" w:rsidRPr="007D6850" w:rsidTr="000E387A">
        <w:trPr>
          <w:trHeight w:val="712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</w:pPr>
            <w:r w:rsidRPr="007D6850">
              <w:rPr>
                <w:sz w:val="22"/>
              </w:rPr>
              <w:lastRenderedPageBreak/>
              <w:t>Omówienie wpływu</w:t>
            </w:r>
          </w:p>
        </w:tc>
        <w:tc>
          <w:tcPr>
            <w:tcW w:w="39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  <w:r w:rsidRPr="007D6850">
              <w:rPr>
                <w:sz w:val="22"/>
              </w:rPr>
              <w:t>Nie dotyczy.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pacing w:val="-2"/>
                <w:sz w:val="22"/>
              </w:rPr>
              <w:t>Planowane wykonanie przepisów aktu prawnego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r w:rsidRPr="007D6850">
              <w:rPr>
                <w:sz w:val="22"/>
              </w:rPr>
              <w:t xml:space="preserve">Planuje się, aby nowe </w:t>
            </w:r>
            <w:r w:rsidRPr="007D6850">
              <w:rPr>
                <w:bCs/>
                <w:sz w:val="22"/>
              </w:rPr>
              <w:t xml:space="preserve">rozporządzenie </w:t>
            </w:r>
            <w:r w:rsidRPr="007D6850">
              <w:rPr>
                <w:sz w:val="22"/>
              </w:rPr>
              <w:t>weszło w życie po upływie 90 dni od dnia ogłoszenia.</w:t>
            </w:r>
          </w:p>
          <w:p w:rsidR="00EA1D42" w:rsidRPr="007D6850" w:rsidRDefault="00EA1D42" w:rsidP="000E387A">
            <w:r w:rsidRPr="007D6850">
              <w:rPr>
                <w:spacing w:val="-2"/>
                <w:sz w:val="22"/>
              </w:rPr>
              <w:t>Niniejsze rozporządzenie powinno wejść w życie w tym samym terminie, co procedowane równolegle rozporządzenia wydawane na podstawie art. 59a ust. 6 i art. 59a ust. 7 ustawy - Prawo lotnicze.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</w:rPr>
            </w:pPr>
            <w:r w:rsidRPr="007D6850">
              <w:rPr>
                <w:b/>
                <w:sz w:val="22"/>
              </w:rPr>
              <w:t xml:space="preserve"> </w:t>
            </w:r>
            <w:r w:rsidRPr="007D6850">
              <w:rPr>
                <w:b/>
                <w:spacing w:val="-2"/>
                <w:sz w:val="22"/>
              </w:rPr>
              <w:t>W jaki sposób i kiedy nastąpi ewaluacja efektów projektu oraz jakie mierniki zostaną zastosowane?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pacing w:val="-2"/>
                <w:sz w:val="22"/>
              </w:rPr>
              <w:t>Nie dotyczy.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D42" w:rsidRPr="007D6850" w:rsidRDefault="00EA1D42" w:rsidP="00EA1D42">
            <w:pPr>
              <w:numPr>
                <w:ilvl w:val="0"/>
                <w:numId w:val="2"/>
              </w:numPr>
              <w:autoSpaceDN w:val="0"/>
              <w:spacing w:before="60" w:after="60" w:line="288" w:lineRule="auto"/>
              <w:ind w:left="318" w:hanging="284"/>
              <w:rPr>
                <w:b/>
                <w:spacing w:val="-2"/>
              </w:rPr>
            </w:pPr>
            <w:r w:rsidRPr="007D6850">
              <w:rPr>
                <w:b/>
                <w:spacing w:val="-2"/>
                <w:sz w:val="22"/>
              </w:rPr>
              <w:t xml:space="preserve">Załączniki (istotne dokumenty źródłowe, badania, analizy itp.) </w:t>
            </w:r>
          </w:p>
        </w:tc>
      </w:tr>
      <w:tr w:rsidR="00EA1D42" w:rsidRPr="007D6850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D42" w:rsidRPr="007D6850" w:rsidRDefault="00EA1D42" w:rsidP="000E387A">
            <w:pPr>
              <w:rPr>
                <w:spacing w:val="-2"/>
              </w:rPr>
            </w:pPr>
            <w:r w:rsidRPr="007D6850">
              <w:rPr>
                <w:spacing w:val="-2"/>
              </w:rPr>
              <w:t>Brak.</w:t>
            </w:r>
          </w:p>
          <w:p w:rsidR="00EA1D42" w:rsidRPr="007D6850" w:rsidRDefault="00EA1D42" w:rsidP="000E387A">
            <w:pPr>
              <w:autoSpaceDE w:val="0"/>
              <w:autoSpaceDN w:val="0"/>
              <w:adjustRightInd w:val="0"/>
              <w:spacing w:line="288" w:lineRule="auto"/>
              <w:rPr>
                <w:spacing w:val="-2"/>
              </w:rPr>
            </w:pPr>
          </w:p>
        </w:tc>
      </w:tr>
    </w:tbl>
    <w:p w:rsidR="00EA1D42" w:rsidRDefault="00EA1D42" w:rsidP="00EA1D42">
      <w:pPr>
        <w:tabs>
          <w:tab w:val="left" w:pos="0"/>
        </w:tabs>
        <w:spacing w:line="264" w:lineRule="auto"/>
        <w:rPr>
          <w:rFonts w:eastAsia="Times New Roman"/>
          <w:sz w:val="22"/>
        </w:rPr>
        <w:sectPr w:rsidR="00EA1D42" w:rsidSect="00AA473F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A1D42" w:rsidRPr="00EE0BFE" w:rsidRDefault="00EA1D42" w:rsidP="00EA1D42"/>
    <w:p w:rsidR="00064562" w:rsidRDefault="00064562"/>
    <w:sectPr w:rsidR="00064562" w:rsidSect="007D68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0F" w:rsidRDefault="00E1310F">
      <w:pPr>
        <w:spacing w:after="0" w:line="240" w:lineRule="auto"/>
      </w:pPr>
      <w:r>
        <w:separator/>
      </w:r>
    </w:p>
  </w:endnote>
  <w:endnote w:type="continuationSeparator" w:id="0">
    <w:p w:rsidR="00E1310F" w:rsidRDefault="00E1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50" w:rsidRDefault="00EA1D42" w:rsidP="00AA47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471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50" w:rsidRPr="003343A2" w:rsidRDefault="00E1310F" w:rsidP="00AA473F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0F" w:rsidRDefault="00E1310F">
      <w:pPr>
        <w:spacing w:after="0" w:line="240" w:lineRule="auto"/>
      </w:pPr>
      <w:r>
        <w:separator/>
      </w:r>
    </w:p>
  </w:footnote>
  <w:footnote w:type="continuationSeparator" w:id="0">
    <w:p w:rsidR="00E1310F" w:rsidRDefault="00E1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DEA"/>
    <w:multiLevelType w:val="hybridMultilevel"/>
    <w:tmpl w:val="DEFC0AE8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2"/>
    <w:rsid w:val="0004107F"/>
    <w:rsid w:val="00064562"/>
    <w:rsid w:val="00122060"/>
    <w:rsid w:val="00C27471"/>
    <w:rsid w:val="00CE7C44"/>
    <w:rsid w:val="00E1310F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42"/>
    <w:pPr>
      <w:spacing w:after="120" w:line="276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42"/>
    <w:rPr>
      <w:rFonts w:ascii="Times New Roman" w:eastAsia="Calibri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A1D42"/>
    <w:pPr>
      <w:widowControl w:val="0"/>
      <w:spacing w:after="0"/>
      <w:ind w:left="720"/>
      <w:contextualSpacing/>
    </w:pPr>
    <w:rPr>
      <w:color w:val="auto"/>
      <w:lang w:val="en-US"/>
    </w:rPr>
  </w:style>
  <w:style w:type="paragraph" w:customStyle="1" w:styleId="Default">
    <w:name w:val="Default"/>
    <w:uiPriority w:val="99"/>
    <w:rsid w:val="00EA1D4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A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42"/>
    <w:pPr>
      <w:spacing w:after="120" w:line="276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42"/>
    <w:rPr>
      <w:rFonts w:ascii="Times New Roman" w:eastAsia="Calibri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A1D42"/>
    <w:pPr>
      <w:widowControl w:val="0"/>
      <w:spacing w:after="0"/>
      <w:ind w:left="720"/>
      <w:contextualSpacing/>
    </w:pPr>
    <w:rPr>
      <w:color w:val="auto"/>
      <w:lang w:val="en-US"/>
    </w:rPr>
  </w:style>
  <w:style w:type="paragraph" w:customStyle="1" w:styleId="Default">
    <w:name w:val="Default"/>
    <w:uiPriority w:val="99"/>
    <w:rsid w:val="00EA1D4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A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grabowska-wlaz@mib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tokowski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dcterms:created xsi:type="dcterms:W3CDTF">2017-11-23T09:03:00Z</dcterms:created>
  <dcterms:modified xsi:type="dcterms:W3CDTF">2017-11-23T09:03:00Z</dcterms:modified>
</cp:coreProperties>
</file>