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E9" w:rsidRDefault="009614E9" w:rsidP="009614E9">
      <w:pPr>
        <w:pageBreakBefore/>
        <w:widowControl/>
        <w:suppressAutoHyphens w:val="0"/>
        <w:autoSpaceDE/>
        <w:spacing w:after="0" w:line="360" w:lineRule="auto"/>
        <w:jc w:val="left"/>
      </w:pPr>
      <w:bookmarkStart w:id="0" w:name="_GoBack"/>
      <w:bookmarkEnd w:id="0"/>
    </w:p>
    <w:p w:rsidR="009614E9" w:rsidRDefault="009614E9" w:rsidP="009614E9">
      <w:pPr>
        <w:widowControl/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UZASADNIENIE</w:t>
      </w:r>
    </w:p>
    <w:p w:rsidR="009614E9" w:rsidRDefault="009614E9" w:rsidP="009614E9">
      <w:pPr>
        <w:widowControl/>
        <w:spacing w:line="360" w:lineRule="auto"/>
        <w:jc w:val="center"/>
        <w:rPr>
          <w:rFonts w:cs="Times New Roman"/>
          <w:szCs w:val="24"/>
        </w:rPr>
      </w:pPr>
    </w:p>
    <w:p w:rsidR="009614E9" w:rsidRDefault="009614E9" w:rsidP="009614E9">
      <w:pPr>
        <w:pStyle w:val="Akapitzlist"/>
        <w:widowControl/>
        <w:numPr>
          <w:ilvl w:val="0"/>
          <w:numId w:val="1"/>
        </w:numPr>
        <w:spacing w:line="360" w:lineRule="auto"/>
        <w:ind w:left="567" w:hanging="567"/>
        <w:rPr>
          <w:rFonts w:eastAsia="Times New Roman"/>
          <w:b/>
          <w:sz w:val="24"/>
          <w:szCs w:val="24"/>
          <w:lang w:val="pl-PL" w:eastAsia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Wyjaśnienie potrzeby i celu nowelizowania rozporządzenia.</w:t>
      </w:r>
    </w:p>
    <w:p w:rsidR="009614E9" w:rsidRDefault="009614E9" w:rsidP="009614E9">
      <w:pPr>
        <w:widowControl/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 dniu 21 czerwca 2017 r. weszła w życie ustawa z dnia 11 maja 2017 r. o biegłych rewidentach, firmach audytorskich oraz nadzorze publicznym (Dz. U. poz. 1089), zwana dalej „ustawą o biegłych rewidentach, firmach audytorskich oraz nadzorze publicznym”.</w:t>
      </w:r>
    </w:p>
    <w:p w:rsidR="009614E9" w:rsidRDefault="009614E9" w:rsidP="009614E9">
      <w:pPr>
        <w:widowControl/>
        <w:spacing w:line="360" w:lineRule="auto"/>
        <w:rPr>
          <w:rFonts w:cs="Times New Roman"/>
          <w:bCs/>
          <w:szCs w:val="24"/>
        </w:rPr>
      </w:pPr>
    </w:p>
    <w:p w:rsidR="009614E9" w:rsidRDefault="009614E9" w:rsidP="009614E9">
      <w:pPr>
        <w:widowControl/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Ww. ustawa m.in. zastąpiła wyrażenia „podmiot uprawniony do badania sprawozdań finansowych” oraz „opinia i raport biegłego rewidenta” odpowiednio wyrażeniami „firma audytorska” oraz „sprawozdanie z badania”.</w:t>
      </w:r>
    </w:p>
    <w:p w:rsidR="009614E9" w:rsidRDefault="009614E9" w:rsidP="009614E9">
      <w:pPr>
        <w:widowControl/>
        <w:spacing w:line="360" w:lineRule="auto"/>
        <w:rPr>
          <w:rFonts w:cs="Times New Roman"/>
          <w:bCs/>
          <w:szCs w:val="24"/>
        </w:rPr>
      </w:pPr>
    </w:p>
    <w:p w:rsidR="009614E9" w:rsidRDefault="009614E9" w:rsidP="009614E9">
      <w:pPr>
        <w:spacing w:line="360" w:lineRule="auto"/>
      </w:pPr>
      <w:r>
        <w:rPr>
          <w:rFonts w:cs="Times New Roman"/>
          <w:bCs/>
          <w:szCs w:val="24"/>
        </w:rPr>
        <w:t xml:space="preserve">Wejście w życie ustawy o biegłych rewidentach, firmach audytorskich oraz nadzorze publicznym powoduje konieczność dostosowania do niej przepisów krajowych z zakresu lotnictwa cywilnego, w tym rozporządzenia </w:t>
      </w:r>
      <w:r>
        <w:rPr>
          <w:rFonts w:cs="Times New Roman"/>
          <w:szCs w:val="24"/>
        </w:rPr>
        <w:t xml:space="preserve">Ministra Transportu, Budownictwa i Gospodarki Morskiej z dnia 19 listopada 2013 r. w sprawie obsługi naziemnej w portach lotniczych (Dz. U. poz. 1378), w którym zgodnie z </w:t>
      </w:r>
      <w:r>
        <w:rPr>
          <w:rFonts w:cs="Times New Roman"/>
          <w:bCs/>
          <w:szCs w:val="24"/>
        </w:rPr>
        <w:t xml:space="preserve">§ 4 ust. 2 pkt 1 </w:t>
      </w:r>
      <w:r>
        <w:rPr>
          <w:rFonts w:cs="Times New Roman"/>
          <w:szCs w:val="24"/>
        </w:rPr>
        <w:t xml:space="preserve">przedsiębiorca prowadzący działalność gospodarczą w okresie poprzedzającym złożenie wniosku o udzielenie zezwolenia na wykonywanie obsługi naziemnej, w celu potwierdzenia sytuacji ekonomicznej pozwalającej na prowadzenie działalności w zakresie obsługi naziemnej, do wniosku dołącza zatwierdzone sprawozdanie finansowe za poprzedni rok obrotowy, jeżeli przedsiębiorca jest obowiązany do jego sporządzenia na podstawie przepisów o rachunkowości lub innych przepisów szczególnych, a także </w:t>
      </w:r>
      <w:r>
        <w:rPr>
          <w:rFonts w:cs="Times New Roman"/>
          <w:b/>
          <w:szCs w:val="24"/>
        </w:rPr>
        <w:t>opinię biegłego rewidenta</w:t>
      </w:r>
      <w:r>
        <w:rPr>
          <w:rFonts w:cs="Times New Roman"/>
          <w:szCs w:val="24"/>
        </w:rPr>
        <w:t xml:space="preserve">, jeżeli obowiązek badania sprawozdania finansowego wynika z przepisów o rachunkowości lub innych przepisów szczególnych. </w:t>
      </w:r>
    </w:p>
    <w:p w:rsidR="009614E9" w:rsidRDefault="009614E9" w:rsidP="009614E9">
      <w:pPr>
        <w:widowControl/>
        <w:spacing w:line="360" w:lineRule="auto"/>
        <w:ind w:firstLine="567"/>
        <w:rPr>
          <w:rFonts w:cs="Times New Roman"/>
          <w:szCs w:val="24"/>
        </w:rPr>
      </w:pPr>
    </w:p>
    <w:p w:rsidR="009614E9" w:rsidRDefault="009614E9" w:rsidP="009614E9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rPr>
          <w:b/>
          <w:sz w:val="24"/>
          <w:szCs w:val="24"/>
          <w:lang w:val="pl-PL"/>
        </w:rPr>
        <w:t>Zakres regulacji.</w:t>
      </w:r>
    </w:p>
    <w:p w:rsidR="009614E9" w:rsidRDefault="009614E9" w:rsidP="009614E9">
      <w:pPr>
        <w:spacing w:line="360" w:lineRule="auto"/>
      </w:pPr>
      <w:r>
        <w:rPr>
          <w:rFonts w:cs="Times New Roman"/>
          <w:szCs w:val="24"/>
        </w:rPr>
        <w:t>Niniejszy projekt ma na celu</w:t>
      </w:r>
      <w:r>
        <w:rPr>
          <w:rFonts w:cs="Times New Roman"/>
          <w:bCs/>
          <w:szCs w:val="24"/>
        </w:rPr>
        <w:t xml:space="preserve"> dostosowanie pojęciowe rozporządzenia w sprawie obsługi naziemnej w portach lotniczych do sformułowań użytych w ustawie o biegłych rewidentach, firmach audytorskich oraz nadzorze publicznym. </w:t>
      </w:r>
    </w:p>
    <w:p w:rsidR="009614E9" w:rsidRDefault="009614E9" w:rsidP="009614E9">
      <w:pPr>
        <w:spacing w:line="360" w:lineRule="auto"/>
        <w:rPr>
          <w:rFonts w:cs="Times New Roman"/>
          <w:bCs/>
          <w:szCs w:val="24"/>
        </w:rPr>
      </w:pPr>
    </w:p>
    <w:p w:rsidR="009614E9" w:rsidRDefault="009614E9" w:rsidP="009614E9">
      <w:pPr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 tym celu proponuje się, aby § 4 ust. 2 pkt 1 rozporządzenia w sprawie obsługi naziemnej </w:t>
      </w:r>
      <w:r>
        <w:rPr>
          <w:rFonts w:cs="Times New Roman"/>
          <w:bCs/>
          <w:szCs w:val="24"/>
        </w:rPr>
        <w:lastRenderedPageBreak/>
        <w:t>w portach lotniczych otrzymał brzmienie: „zatwierdzone sprawozdanie finansowe za poprzedni rok obrotowy, jeżeli przedsiębiorca jest obowiązany do jego sporządzenia na podstawie przepisów o rachunkowości lub przepisów szczególnych dotyczących sprawozdań finansowych, a także sprawozdanie z badania, jeżeli obowiązek poddania sprawozdania finansowego badaniu wynika z przepisów o rachunkowości lub przepisów szczególnych dotyczących sprawozdań finansowych;”.</w:t>
      </w:r>
    </w:p>
    <w:p w:rsidR="009614E9" w:rsidRDefault="009614E9" w:rsidP="009614E9">
      <w:pPr>
        <w:spacing w:line="360" w:lineRule="auto"/>
      </w:pPr>
      <w:r>
        <w:rPr>
          <w:rFonts w:cs="Times New Roman"/>
          <w:szCs w:val="24"/>
        </w:rPr>
        <w:t xml:space="preserve">Z uwagi na fakt, że ustawa </w:t>
      </w:r>
      <w:r>
        <w:rPr>
          <w:rFonts w:cs="Times New Roman"/>
          <w:bCs/>
          <w:szCs w:val="24"/>
        </w:rPr>
        <w:t>o biegłych rewidentach, firmach audytorskich oraz nadzorze publicznym weszła już w życie, zasadne jest jak najszybsze wejście w życie zmiany przedmiotowego rozporządzenia, tak aby jego treść była spójna z treścią tejże ustawy w zakresie nazewnictwa dokumentu i jego zawartości. W związku z powyższym proponuje się, aby zmiana weszła w życie w dniu następującym po dniu ogłoszenia. Jak wskazano dalej w treści uzasadnienia, zmiana rozporządzenia nie wpływa na funkcjonowanie podmiotów.</w:t>
      </w:r>
    </w:p>
    <w:p w:rsidR="009614E9" w:rsidRDefault="009614E9" w:rsidP="009614E9">
      <w:pPr>
        <w:pStyle w:val="Akapitzlist"/>
        <w:widowControl/>
        <w:spacing w:line="360" w:lineRule="auto"/>
        <w:ind w:left="567"/>
        <w:rPr>
          <w:rFonts w:eastAsia="Times New Roman"/>
          <w:b/>
          <w:sz w:val="24"/>
          <w:szCs w:val="24"/>
          <w:lang w:val="pl-PL" w:eastAsia="pl-PL"/>
        </w:rPr>
      </w:pPr>
    </w:p>
    <w:p w:rsidR="009614E9" w:rsidRPr="009614E9" w:rsidRDefault="009614E9" w:rsidP="009614E9">
      <w:pPr>
        <w:pStyle w:val="Akapitzlist"/>
        <w:numPr>
          <w:ilvl w:val="0"/>
          <w:numId w:val="1"/>
        </w:numPr>
        <w:spacing w:line="360" w:lineRule="auto"/>
        <w:ind w:left="567" w:hanging="567"/>
        <w:rPr>
          <w:lang w:val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Przewidywane skutki prawne wejścia w życie rozporządzenia.</w:t>
      </w:r>
    </w:p>
    <w:p w:rsidR="009614E9" w:rsidRDefault="009614E9" w:rsidP="009614E9">
      <w:pPr>
        <w:pStyle w:val="Akapitzlist"/>
        <w:spacing w:line="360" w:lineRule="auto"/>
        <w:ind w:left="567"/>
        <w:rPr>
          <w:rFonts w:eastAsia="Times New Roman"/>
          <w:b/>
          <w:lang w:val="pl-PL" w:eastAsia="pl-PL"/>
        </w:rPr>
      </w:pPr>
    </w:p>
    <w:p w:rsidR="009614E9" w:rsidRPr="009614E9" w:rsidRDefault="009614E9" w:rsidP="009614E9">
      <w:pPr>
        <w:pStyle w:val="Akapitzlist"/>
        <w:spacing w:line="360" w:lineRule="auto"/>
        <w:ind w:left="0"/>
        <w:rPr>
          <w:lang w:val="pl-PL"/>
        </w:rPr>
      </w:pPr>
      <w:r>
        <w:rPr>
          <w:rFonts w:eastAsia="Times New Roman"/>
          <w:sz w:val="24"/>
          <w:szCs w:val="24"/>
          <w:lang w:val="pl-PL" w:eastAsia="pl-PL"/>
        </w:rPr>
        <w:t>Uwzględniając argumentację zawartą w pkt 2 wejście w życie rozporządzenia, w terminie krótszym niż 14 dni od jego opublikowania nie stoi w sprzeczności z art. 4 ustawy</w:t>
      </w:r>
      <w:r>
        <w:rPr>
          <w:rFonts w:ascii="A" w:hAnsi="A" w:cs="A"/>
          <w:sz w:val="20"/>
          <w:szCs w:val="20"/>
          <w:lang w:val="pl-PL"/>
        </w:rPr>
        <w:t xml:space="preserve"> </w:t>
      </w:r>
      <w:r>
        <w:rPr>
          <w:rFonts w:eastAsia="Times New Roman"/>
          <w:sz w:val="24"/>
          <w:szCs w:val="24"/>
          <w:lang w:val="pl-PL" w:eastAsia="pl-PL"/>
        </w:rPr>
        <w:t xml:space="preserve">z dnia 20 lipca 2000 r. </w:t>
      </w:r>
      <w:r>
        <w:rPr>
          <w:rFonts w:eastAsia="Times New Roman"/>
          <w:bCs/>
          <w:sz w:val="24"/>
          <w:szCs w:val="24"/>
          <w:lang w:val="pl-PL" w:eastAsia="pl-PL"/>
        </w:rPr>
        <w:t>o ogłaszaniu aktów normatywnych i niektórych innych aktów prawnych (Dz. U. z 2017 r. poz. 1523).</w:t>
      </w:r>
    </w:p>
    <w:p w:rsidR="009614E9" w:rsidRPr="009614E9" w:rsidRDefault="009614E9" w:rsidP="009614E9">
      <w:pPr>
        <w:pStyle w:val="Akapitzlist"/>
        <w:spacing w:line="360" w:lineRule="auto"/>
        <w:ind w:left="0"/>
        <w:rPr>
          <w:lang w:val="pl-PL"/>
        </w:rPr>
      </w:pPr>
      <w:r>
        <w:rPr>
          <w:sz w:val="24"/>
          <w:szCs w:val="24"/>
          <w:lang w:val="pl-PL"/>
        </w:rPr>
        <w:t xml:space="preserve">Rozwiązania zawarte w projekcie rozporządzenia nie będą miały wpływu na działalność </w:t>
      </w:r>
      <w:proofErr w:type="spellStart"/>
      <w:r>
        <w:rPr>
          <w:sz w:val="24"/>
          <w:szCs w:val="24"/>
          <w:lang w:val="pl-PL"/>
        </w:rPr>
        <w:t>mikroprzedsiębiorców</w:t>
      </w:r>
      <w:proofErr w:type="spellEnd"/>
      <w:r>
        <w:rPr>
          <w:sz w:val="24"/>
          <w:szCs w:val="24"/>
          <w:lang w:val="pl-PL"/>
        </w:rPr>
        <w:t>, małych i średnich przedsiębiorców.</w:t>
      </w:r>
    </w:p>
    <w:p w:rsidR="009614E9" w:rsidRDefault="009614E9" w:rsidP="009614E9">
      <w:pPr>
        <w:pStyle w:val="Akapitzlist"/>
        <w:spacing w:line="360" w:lineRule="auto"/>
        <w:ind w:left="0" w:firstLine="567"/>
        <w:rPr>
          <w:lang w:val="pl-PL"/>
        </w:rPr>
      </w:pPr>
    </w:p>
    <w:p w:rsidR="009614E9" w:rsidRPr="009614E9" w:rsidRDefault="009614E9" w:rsidP="009614E9">
      <w:pPr>
        <w:pStyle w:val="Akapitzlist"/>
        <w:widowControl/>
        <w:numPr>
          <w:ilvl w:val="0"/>
          <w:numId w:val="1"/>
        </w:numPr>
        <w:spacing w:before="240" w:after="120" w:line="360" w:lineRule="auto"/>
        <w:ind w:left="0" w:firstLine="0"/>
        <w:rPr>
          <w:lang w:val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Przedstawienie projektu właściwym organom i instytucjom Unii Europejskiej, w tym Europejskiemu Bankowi Centralnemu, w celu uzyskania opinii, dokonania powiadomienia, konsultacji albo uzgodnienia, jeżeli obowiązek taki wynika z odrębnych przepisów.</w:t>
      </w:r>
    </w:p>
    <w:p w:rsidR="009614E9" w:rsidRDefault="009614E9" w:rsidP="009614E9">
      <w:pPr>
        <w:widowControl/>
        <w:tabs>
          <w:tab w:val="left" w:pos="709"/>
        </w:tabs>
        <w:spacing w:line="360" w:lineRule="auto"/>
      </w:pPr>
      <w:r>
        <w:rPr>
          <w:rFonts w:cs="Times New Roman"/>
          <w:szCs w:val="24"/>
        </w:rPr>
        <w:t xml:space="preserve">Nie </w:t>
      </w:r>
      <w:r>
        <w:rPr>
          <w:rFonts w:cs="Times New Roman"/>
          <w:spacing w:val="-2"/>
          <w:szCs w:val="24"/>
        </w:rPr>
        <w:t>dotyczy</w:t>
      </w:r>
      <w:r>
        <w:rPr>
          <w:rFonts w:cs="Times New Roman"/>
          <w:szCs w:val="24"/>
        </w:rPr>
        <w:t>.</w:t>
      </w:r>
    </w:p>
    <w:p w:rsidR="009614E9" w:rsidRPr="009614E9" w:rsidRDefault="009614E9" w:rsidP="009614E9">
      <w:pPr>
        <w:pStyle w:val="Akapitzlist"/>
        <w:widowControl/>
        <w:numPr>
          <w:ilvl w:val="0"/>
          <w:numId w:val="1"/>
        </w:numPr>
        <w:spacing w:before="240" w:after="120" w:line="360" w:lineRule="auto"/>
        <w:ind w:left="0" w:firstLine="0"/>
        <w:rPr>
          <w:lang w:val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t>Oświadczenie organu wnioskującego, co do zgodności projektu z prawem Unii Europejskiej. </w:t>
      </w:r>
    </w:p>
    <w:p w:rsidR="009614E9" w:rsidRDefault="009614E9" w:rsidP="009614E9">
      <w:pPr>
        <w:widowControl/>
        <w:tabs>
          <w:tab w:val="left" w:pos="1134"/>
        </w:tabs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Przedkładany projekt rozporządzenia jest zgodny z prawem Unii Europejskiej.</w:t>
      </w:r>
    </w:p>
    <w:p w:rsidR="009614E9" w:rsidRDefault="009614E9" w:rsidP="009614E9">
      <w:pPr>
        <w:pStyle w:val="Akapitzlist"/>
        <w:widowControl/>
        <w:numPr>
          <w:ilvl w:val="0"/>
          <w:numId w:val="1"/>
        </w:numPr>
        <w:spacing w:before="240" w:after="120" w:line="360" w:lineRule="auto"/>
        <w:ind w:left="0" w:firstLine="0"/>
        <w:rPr>
          <w:rFonts w:eastAsia="Times New Roman"/>
          <w:b/>
          <w:sz w:val="24"/>
          <w:szCs w:val="24"/>
          <w:lang w:val="pl-PL" w:eastAsia="pl-PL"/>
        </w:rPr>
      </w:pPr>
      <w:r>
        <w:rPr>
          <w:rFonts w:eastAsia="Times New Roman"/>
          <w:b/>
          <w:sz w:val="24"/>
          <w:szCs w:val="24"/>
          <w:lang w:val="pl-PL" w:eastAsia="pl-PL"/>
        </w:rPr>
        <w:lastRenderedPageBreak/>
        <w:t>Ocena organu uprawnionego do opracowania projektu rozporządzenia, czy projekt ten podlega notyfikacji zgodnie z przepisami dotyczącymi funkcjonowania krajowego systemu notyfikacji norm i aktów prawnych.</w:t>
      </w:r>
    </w:p>
    <w:p w:rsidR="009614E9" w:rsidRDefault="009614E9" w:rsidP="009614E9">
      <w:pPr>
        <w:widowControl/>
        <w:spacing w:line="360" w:lineRule="auto"/>
        <w:rPr>
          <w:rFonts w:cs="Times New Roman"/>
          <w:spacing w:val="-2"/>
          <w:szCs w:val="24"/>
        </w:rPr>
      </w:pPr>
      <w:r>
        <w:rPr>
          <w:rFonts w:cs="Times New Roman"/>
          <w:spacing w:val="-2"/>
          <w:szCs w:val="24"/>
        </w:rPr>
        <w:t>Regulacje zawarte w projektowanym rozporządzeniu nie stanowią przepisów technicznych w rozumieniu rozporządzenia Rady Ministrów z dnia 23 grudnia 2002 r. w sprawie sposobu funkcjonowania krajowego systemu notyfikacji norm i aktów prawnych (Dz. U. poz. 2039, z </w:t>
      </w:r>
      <w:proofErr w:type="spellStart"/>
      <w:r>
        <w:rPr>
          <w:rFonts w:cs="Times New Roman"/>
          <w:spacing w:val="-2"/>
          <w:szCs w:val="24"/>
        </w:rPr>
        <w:t>późn</w:t>
      </w:r>
      <w:proofErr w:type="spellEnd"/>
      <w:r>
        <w:rPr>
          <w:rFonts w:cs="Times New Roman"/>
          <w:spacing w:val="-2"/>
          <w:szCs w:val="24"/>
        </w:rPr>
        <w:t>. zm.), zatem nie podlega ono notyfikacji.</w:t>
      </w:r>
    </w:p>
    <w:p w:rsidR="009614E9" w:rsidRDefault="009614E9" w:rsidP="009614E9">
      <w:pPr>
        <w:spacing w:line="36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W związku z art. 50 ustawy z dnia 27 sierpnia 2009 r. o finansach publicznych (Dz. U. z 2016 r. poz. 1870, z </w:t>
      </w:r>
      <w:proofErr w:type="spellStart"/>
      <w:r>
        <w:rPr>
          <w:rFonts w:cs="Times New Roman"/>
          <w:bCs/>
          <w:szCs w:val="24"/>
        </w:rPr>
        <w:t>późn</w:t>
      </w:r>
      <w:proofErr w:type="spellEnd"/>
      <w:r>
        <w:rPr>
          <w:rFonts w:cs="Times New Roman"/>
          <w:bCs/>
          <w:szCs w:val="24"/>
        </w:rPr>
        <w:t>. zm.) należy podnieść, że projektodawca nie przewiduje, aby projektowane przepisy miały wpływ na sektor finansów publicznych, w tym zwiększenie wydatków lub zmniejszenie dochodów jednostek sektora finansów publicznych.</w:t>
      </w:r>
    </w:p>
    <w:p w:rsidR="009614E9" w:rsidRDefault="009614E9" w:rsidP="009614E9">
      <w:pPr>
        <w:spacing w:line="360" w:lineRule="auto"/>
        <w:rPr>
          <w:rFonts w:cs="Times New Roman"/>
          <w:bCs/>
          <w:szCs w:val="24"/>
        </w:rPr>
      </w:pPr>
    </w:p>
    <w:p w:rsidR="009614E9" w:rsidRDefault="009614E9" w:rsidP="009614E9">
      <w:pPr>
        <w:widowControl/>
        <w:spacing w:line="360" w:lineRule="auto"/>
      </w:pPr>
      <w:r>
        <w:rPr>
          <w:szCs w:val="24"/>
        </w:rPr>
        <w:t>Stosownie do postanowień § 52 ust. 1 uchwały nr 190 Rady Ministrów z dnia 29 października 2013 r. – Regulamin pracy Rady Ministrów (M. P. z 2016 r. poz. 1006 i 1204) – projekt rozporządzenia zostanie udostępniony w Biuletynie Informacji Publicznej na stronie podmiotowej Rządowego Centrum Legislacji, w serwisie Rządowy Proces Legislacyjny.</w:t>
      </w:r>
    </w:p>
    <w:p w:rsidR="001C0C2C" w:rsidRDefault="00B05ECB"/>
    <w:sectPr w:rsidR="001C0C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CB" w:rsidRDefault="00B05ECB" w:rsidP="009614E9">
      <w:pPr>
        <w:spacing w:after="0"/>
      </w:pPr>
      <w:r>
        <w:separator/>
      </w:r>
    </w:p>
  </w:endnote>
  <w:endnote w:type="continuationSeparator" w:id="0">
    <w:p w:rsidR="00B05ECB" w:rsidRDefault="00B05ECB" w:rsidP="009614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CB" w:rsidRDefault="00B05ECB" w:rsidP="009614E9">
      <w:pPr>
        <w:spacing w:after="0"/>
      </w:pPr>
      <w:r>
        <w:separator/>
      </w:r>
    </w:p>
  </w:footnote>
  <w:footnote w:type="continuationSeparator" w:id="0">
    <w:p w:rsidR="00B05ECB" w:rsidRDefault="00B05ECB" w:rsidP="009614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647142"/>
      <w:docPartObj>
        <w:docPartGallery w:val="Page Numbers (Top of Page)"/>
        <w:docPartUnique/>
      </w:docPartObj>
    </w:sdtPr>
    <w:sdtContent>
      <w:p w:rsidR="006D1116" w:rsidRDefault="006D111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D1116" w:rsidRDefault="006D11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24CE5"/>
    <w:multiLevelType w:val="multilevel"/>
    <w:tmpl w:val="70F2664A"/>
    <w:lvl w:ilvl="0">
      <w:start w:val="1"/>
      <w:numFmt w:val="decimal"/>
      <w:lvlText w:val="%1)"/>
      <w:lvlJc w:val="left"/>
      <w:pPr>
        <w:ind w:left="1287" w:hanging="360"/>
      </w:pPr>
      <w:rPr>
        <w:b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E9"/>
    <w:rsid w:val="00495A06"/>
    <w:rsid w:val="006D1116"/>
    <w:rsid w:val="008F1D6A"/>
    <w:rsid w:val="009614E9"/>
    <w:rsid w:val="00B05ECB"/>
    <w:rsid w:val="00B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14E9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614E9"/>
    <w:pPr>
      <w:suppressAutoHyphens w:val="0"/>
      <w:autoSpaceDE/>
      <w:spacing w:after="0" w:line="276" w:lineRule="auto"/>
      <w:ind w:left="720"/>
      <w:textAlignment w:val="auto"/>
    </w:pPr>
    <w:rPr>
      <w:rFonts w:eastAsia="Calibri" w:cs="Times New Roman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614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14E9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4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614E9"/>
    <w:rPr>
      <w:rFonts w:ascii="Times New Roman" w:eastAsia="Times New Roman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14E9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614E9"/>
    <w:pPr>
      <w:suppressAutoHyphens w:val="0"/>
      <w:autoSpaceDE/>
      <w:spacing w:after="0" w:line="276" w:lineRule="auto"/>
      <w:ind w:left="720"/>
      <w:textAlignment w:val="auto"/>
    </w:pPr>
    <w:rPr>
      <w:rFonts w:eastAsia="Calibri" w:cs="Times New Roman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614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14E9"/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4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614E9"/>
    <w:rPr>
      <w:rFonts w:ascii="Times New Roman" w:eastAsia="Times New Roman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Głąb Ewelina</dc:creator>
  <cp:lastModifiedBy>Głąb Ewelina</cp:lastModifiedBy>
  <cp:revision>2</cp:revision>
  <dcterms:created xsi:type="dcterms:W3CDTF">2017-09-28T07:32:00Z</dcterms:created>
  <dcterms:modified xsi:type="dcterms:W3CDTF">2017-09-28T07:54:00Z</dcterms:modified>
</cp:coreProperties>
</file>