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4C" w:rsidRDefault="002B634C"/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8"/>
        <w:gridCol w:w="150"/>
        <w:gridCol w:w="282"/>
        <w:gridCol w:w="636"/>
        <w:gridCol w:w="284"/>
        <w:gridCol w:w="105"/>
        <w:gridCol w:w="288"/>
        <w:gridCol w:w="44"/>
        <w:gridCol w:w="37"/>
        <w:gridCol w:w="402"/>
        <w:gridCol w:w="108"/>
        <w:gridCol w:w="59"/>
        <w:gridCol w:w="205"/>
        <w:gridCol w:w="348"/>
        <w:gridCol w:w="40"/>
        <w:gridCol w:w="405"/>
        <w:gridCol w:w="158"/>
        <w:gridCol w:w="220"/>
        <w:gridCol w:w="61"/>
        <w:gridCol w:w="334"/>
        <w:gridCol w:w="394"/>
        <w:gridCol w:w="235"/>
        <w:gridCol w:w="156"/>
        <w:gridCol w:w="405"/>
        <w:gridCol w:w="61"/>
        <w:gridCol w:w="2213"/>
      </w:tblGrid>
      <w:tr w:rsidR="002B634C">
        <w:trPr>
          <w:trHeight w:val="1611"/>
        </w:trPr>
        <w:tc>
          <w:tcPr>
            <w:tcW w:w="53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b/>
              </w:rPr>
            </w:pPr>
            <w:r>
              <w:rPr>
                <w:b/>
              </w:rPr>
              <w:t>Nazwa projektu:</w:t>
            </w:r>
          </w:p>
          <w:p w:rsidR="002B634C" w:rsidRDefault="0080442F">
            <w:r>
              <w:t xml:space="preserve">Rozporządzenie Ministra Infrastruktury i Budownictwa zmieniające rozporządzenie w sprawie obsługi naziemnej w portach lotniczych </w:t>
            </w:r>
          </w:p>
          <w:p w:rsidR="002B634C" w:rsidRDefault="0080442F">
            <w:pPr>
              <w:rPr>
                <w:b/>
              </w:rPr>
            </w:pPr>
            <w:r>
              <w:rPr>
                <w:b/>
              </w:rPr>
              <w:t>Ministerstwo wiodące i ministerstwa współpracujące</w:t>
            </w:r>
          </w:p>
          <w:p w:rsidR="002B634C" w:rsidRDefault="0080442F">
            <w:r>
              <w:t>Ministerstwo Infrastruktury i Budownictwa</w:t>
            </w:r>
          </w:p>
          <w:p w:rsidR="002B634C" w:rsidRDefault="0080442F">
            <w:pPr>
              <w:rPr>
                <w:b/>
              </w:rPr>
            </w:pPr>
            <w:r>
              <w:rPr>
                <w:b/>
              </w:rPr>
              <w:t>Osoba odpowiedzialna za projekt w randze Ministra, Sekretarza Stanu lub Podsekretarza Stanu</w:t>
            </w:r>
          </w:p>
          <w:p w:rsidR="002B634C" w:rsidRDefault="0080442F">
            <w:r>
              <w:t xml:space="preserve">Jerzy Szmit – Podsekretarz Stanu w </w:t>
            </w:r>
            <w:proofErr w:type="spellStart"/>
            <w:r>
              <w:t>MIiB</w:t>
            </w:r>
            <w:proofErr w:type="spellEnd"/>
          </w:p>
          <w:p w:rsidR="002B634C" w:rsidRDefault="002B634C">
            <w:pPr>
              <w:rPr>
                <w:b/>
              </w:rPr>
            </w:pPr>
          </w:p>
          <w:p w:rsidR="002B634C" w:rsidRDefault="0080442F">
            <w:pPr>
              <w:rPr>
                <w:b/>
              </w:rPr>
            </w:pPr>
            <w:r>
              <w:rPr>
                <w:b/>
              </w:rPr>
              <w:t>Kontakt do opiekuna merytorycznego projektu</w:t>
            </w:r>
          </w:p>
          <w:p w:rsidR="002B634C" w:rsidRDefault="0080442F">
            <w:r>
              <w:t>Marlena Jantoń – Marlena.Janton@mib.gov.pl</w:t>
            </w:r>
          </w:p>
        </w:tc>
        <w:tc>
          <w:tcPr>
            <w:tcW w:w="3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b/>
              </w:rPr>
              <w:t>Data sporządzenia</w:t>
            </w:r>
            <w:r>
              <w:rPr>
                <w:b/>
              </w:rPr>
              <w:br/>
            </w:r>
            <w:r>
              <w:t>16.08.2017 r.</w:t>
            </w:r>
          </w:p>
          <w:p w:rsidR="002B634C" w:rsidRDefault="002B634C">
            <w:pPr>
              <w:rPr>
                <w:b/>
              </w:rPr>
            </w:pPr>
          </w:p>
          <w:p w:rsidR="002B634C" w:rsidRDefault="0080442F">
            <w:pPr>
              <w:rPr>
                <w:b/>
              </w:rPr>
            </w:pPr>
            <w:r>
              <w:rPr>
                <w:b/>
              </w:rPr>
              <w:t xml:space="preserve">Źródło: </w:t>
            </w:r>
          </w:p>
          <w:p w:rsidR="002B634C" w:rsidRDefault="0080442F">
            <w:r>
              <w:t>art. 182 ustawy z dnia 3 lipca 2002 r. – Prawo lotnicze (Dz. U. z 2017 r. poz. 959 i 1089)</w:t>
            </w:r>
          </w:p>
          <w:p w:rsidR="002B634C" w:rsidRDefault="002B634C"/>
          <w:p w:rsidR="002B634C" w:rsidRDefault="0080442F">
            <w:pPr>
              <w:rPr>
                <w:b/>
              </w:rPr>
            </w:pPr>
            <w:r>
              <w:rPr>
                <w:b/>
              </w:rPr>
              <w:t xml:space="preserve">Nr w wykazie prac legislacyjnych </w:t>
            </w:r>
            <w:proofErr w:type="spellStart"/>
            <w:r>
              <w:rPr>
                <w:b/>
              </w:rPr>
              <w:t>MIiB</w:t>
            </w:r>
            <w:proofErr w:type="spellEnd"/>
          </w:p>
          <w:p w:rsidR="002B634C" w:rsidRDefault="0080442F">
            <w:r>
              <w:t>167</w:t>
            </w:r>
          </w:p>
        </w:tc>
        <w:bookmarkStart w:id="0" w:name="_GoBack"/>
        <w:bookmarkEnd w:id="0"/>
      </w:tr>
      <w:tr w:rsidR="002B634C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OCENA SKUTKÓW REGULACJI</w:t>
            </w:r>
          </w:p>
        </w:tc>
      </w:tr>
      <w:tr w:rsidR="002B634C">
        <w:trPr>
          <w:trHeight w:val="333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numPr>
                <w:ilvl w:val="0"/>
                <w:numId w:val="2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Jaki problem jest </w:t>
            </w:r>
            <w:proofErr w:type="spellStart"/>
            <w:r>
              <w:rPr>
                <w:b/>
                <w:lang w:val="en-US"/>
              </w:rPr>
              <w:t>rozwiązywany</w:t>
            </w:r>
            <w:proofErr w:type="spellEnd"/>
            <w:r>
              <w:rPr>
                <w:b/>
                <w:lang w:val="en-US"/>
              </w:rPr>
              <w:t>?</w:t>
            </w:r>
          </w:p>
        </w:tc>
      </w:tr>
      <w:tr w:rsidR="002B634C">
        <w:trPr>
          <w:trHeight w:val="1270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Celem wydania rozporządzenia jest usunięcie niespójności terminologicznych w zakresie dokumentu potwierdzającego badanie sprawozdania finansowego przez biegłego rewidenta pomiędzy rozporządzeniem wydanym na podstawie art. 182 ustawy – Prawo lotnicze a treścią </w:t>
            </w:r>
            <w:r>
              <w:rPr>
                <w:bCs/>
              </w:rPr>
              <w:t>ustawy z dnia 11 maja 2017 r. o biegłych rewidentach, firmach audytorskich oraz nadzorze publicznym (Dz. U. poz. 1089).</w:t>
            </w:r>
          </w:p>
        </w:tc>
      </w:tr>
      <w:tr w:rsidR="002B634C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Rekomendowane rozwiązanie, w tym planowane narzędzia interwencji, i oczekiwany efekt</w:t>
            </w:r>
          </w:p>
        </w:tc>
      </w:tr>
      <w:tr w:rsidR="002B634C">
        <w:trPr>
          <w:trHeight w:val="914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Dostosowanie rozporządzenia wydanego na podstawie art. 182 ustawy – Prawo lotnicze do </w:t>
            </w:r>
            <w:r>
              <w:rPr>
                <w:bCs/>
              </w:rPr>
              <w:t>ustawy z dnia 11 maja 2017 r. o biegłych rewidentach, firmach audytorskich oraz nadzorze publicznym (Dz. U. poz. 1089), poprzez  zmianę terminologii. Pojęcie „opinia biegłego rewidenta” zastąpiono odpowiednio wyrażeniem „sprawozdanie z badania”.</w:t>
            </w:r>
          </w:p>
        </w:tc>
      </w:tr>
      <w:tr w:rsidR="002B634C">
        <w:trPr>
          <w:trHeight w:val="307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numPr>
                <w:ilvl w:val="0"/>
                <w:numId w:val="2"/>
              </w:numPr>
            </w:pPr>
            <w:r>
              <w:rPr>
                <w:b/>
              </w:rPr>
              <w:t>Jak problem został rozwiązany w innych krajach, w szczególności krajach członkowskich OECD/UE?</w:t>
            </w:r>
            <w:r>
              <w:rPr>
                <w:i/>
              </w:rPr>
              <w:t xml:space="preserve"> </w:t>
            </w:r>
          </w:p>
        </w:tc>
      </w:tr>
      <w:tr w:rsidR="002B634C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Z uwagi na dostosowawczy charakter zmiany nie badano tego zagadnienia.</w:t>
            </w:r>
          </w:p>
        </w:tc>
      </w:tr>
      <w:tr w:rsidR="002B634C">
        <w:trPr>
          <w:trHeight w:val="359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Podmioty, na które oddziałuje projekt</w:t>
            </w:r>
          </w:p>
        </w:tc>
      </w:tr>
      <w:tr w:rsidR="002B634C">
        <w:trPr>
          <w:trHeight w:val="142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Grupa</w:t>
            </w:r>
            <w:proofErr w:type="spellEnd"/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Wielkość</w:t>
            </w:r>
            <w:proofErr w:type="spellEnd"/>
          </w:p>
        </w:tc>
        <w:tc>
          <w:tcPr>
            <w:tcW w:w="1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Źródło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danych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Oddziaływanie</w:t>
            </w:r>
            <w:proofErr w:type="spellEnd"/>
          </w:p>
        </w:tc>
      </w:tr>
      <w:tr w:rsidR="002B634C">
        <w:trPr>
          <w:trHeight w:val="142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Minister właściwy do spraw transportu</w:t>
            </w: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Dane własne Urzędu Lotnictwa Cywilnego</w:t>
            </w:r>
          </w:p>
        </w:tc>
        <w:tc>
          <w:tcPr>
            <w:tcW w:w="4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Pozytywne – brak ewentualnych wątpliwości wynikających z przedstawienia dokumentu o nazwie odmiennej niż wskazany w rozporządzeniu. </w:t>
            </w:r>
          </w:p>
        </w:tc>
      </w:tr>
      <w:tr w:rsidR="002B634C" w:rsidTr="006155EA">
        <w:trPr>
          <w:trHeight w:val="952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lastRenderedPageBreak/>
              <w:t>Agenci obsługi naziemnej</w:t>
            </w:r>
          </w:p>
        </w:tc>
        <w:tc>
          <w:tcPr>
            <w:tcW w:w="1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45</w:t>
            </w:r>
          </w:p>
        </w:tc>
        <w:tc>
          <w:tcPr>
            <w:tcW w:w="1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Dane własne Urzędu Lotnictwa Cywilnego</w:t>
            </w:r>
          </w:p>
        </w:tc>
        <w:tc>
          <w:tcPr>
            <w:tcW w:w="42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Pozytywne – brak ewentualnych trudności w procedurze uzyskiwania </w:t>
            </w:r>
            <w:r>
              <w:rPr>
                <w:bCs/>
              </w:rPr>
              <w:t>zezwolenia na obsługę  naziemną</w:t>
            </w:r>
            <w:r>
              <w:t xml:space="preserve"> wynikających z przedstawienia dokumentu o nazwie odmiennej niż wskazany w rozporządzeniu. </w:t>
            </w:r>
          </w:p>
        </w:tc>
      </w:tr>
      <w:tr w:rsidR="002B634C" w:rsidTr="006155EA">
        <w:trPr>
          <w:trHeight w:val="504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Informacje na temat zakresu, czasu trwania i podsumowanie wyników konsultacji</w:t>
            </w:r>
          </w:p>
        </w:tc>
      </w:tr>
      <w:tr w:rsidR="002B634C" w:rsidTr="006155EA">
        <w:trPr>
          <w:trHeight w:val="7481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Projekt rozporządzenia powinien zostać skonsultowany z następującymi podmiotami: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Górnośląskim Towarzystwem Lotniczym S.A., Al. Korfantego 38, 40-161 Katowice,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Międzynarodowym Portem Lotniczym im. Jana Pawła II Kraków Balice sp. z o.o., Kpt. M. </w:t>
            </w:r>
            <w:proofErr w:type="spellStart"/>
            <w:r>
              <w:t>Medweckiego</w:t>
            </w:r>
            <w:proofErr w:type="spellEnd"/>
            <w:r>
              <w:t xml:space="preserve"> 1, 32-083 Balice,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Portem Lotniczym „Rzeszów – Jasionka” sp. z o.o., Jasionka 942, 36-002 Jasionka,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Portem Lotniczym Bydgoszcz S.A., Paderewskiego 1, 86-005 Białe Błota,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Portem Lotniczym Gdańsk sp. z o.o., Słowackiego 200, 80-298 Gdańsk,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Portem Lotniczym Lublin S.A., ul. Króla Jana III Sobieskiego 1, 21-040 Świdnik,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Portem Lotniczym Łódź im. Władysława Reymonta sp. z o.o., Gen. S. Maczka 35, 94-328 Łódź,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Portem Lotniczym Wrocław S.A.,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Przedsiębiorstwem Państwowym „Porty Lotnicze”,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Warmia i Mazury sp. z o.o.,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Aircraft Management and Consulting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Air Transport Support sp. z o. o.,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AirTech</w:t>
            </w:r>
            <w:proofErr w:type="spellEnd"/>
            <w:r>
              <w:rPr>
                <w:lang w:val="en-US"/>
              </w:rPr>
              <w:t xml:space="preserve"> Solution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Airnet</w:t>
            </w:r>
            <w:proofErr w:type="spellEnd"/>
            <w:r>
              <w:rPr>
                <w:lang w:val="en-US"/>
              </w:rPr>
              <w:t xml:space="preserve"> Service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Alfreda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Perczak</w:t>
            </w:r>
            <w:proofErr w:type="spellEnd"/>
            <w:r>
              <w:rPr>
                <w:lang w:val="en-US"/>
              </w:rPr>
              <w:t xml:space="preserve"> P.P.H.U. “POL-TRANS-CATERING” EXPORT-IMPORT,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Baltic Ground Services PL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Blue Airlines Solutions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DO &amp; CO Poland sp. z o.o.,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Excel Handling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Ferier</w:t>
            </w:r>
            <w:proofErr w:type="spellEnd"/>
            <w:r>
              <w:rPr>
                <w:lang w:val="en-US"/>
              </w:rPr>
              <w:t xml:space="preserve">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„GROM CARGO SERWIS” Przedsiębiorstwo Usługowe Wojciech Gromadzki,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Grupą Kapitałową „ER-KA” Invest sp. z o.o. sp. k.,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„GTL Service”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Impel Airport Partner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proofErr w:type="spellStart"/>
            <w:r>
              <w:t>Jacekiem</w:t>
            </w:r>
            <w:proofErr w:type="spellEnd"/>
            <w:r>
              <w:t xml:space="preserve"> Kujawą prowadzącym działalność gospodarczą pod firmą Jacek Kujawa </w:t>
            </w:r>
            <w:proofErr w:type="spellStart"/>
            <w:r>
              <w:t>Airwashplane</w:t>
            </w:r>
            <w:proofErr w:type="spellEnd"/>
            <w:r>
              <w:t xml:space="preserve">, </w:t>
            </w:r>
          </w:p>
          <w:p w:rsidR="006155EA" w:rsidRDefault="0080442F" w:rsidP="006155EA">
            <w:pPr>
              <w:numPr>
                <w:ilvl w:val="0"/>
                <w:numId w:val="3"/>
              </w:numPr>
            </w:pPr>
            <w:r>
              <w:t xml:space="preserve">Jet Story sp. z o.o., </w:t>
            </w:r>
          </w:p>
          <w:p w:rsidR="006155EA" w:rsidRDefault="006155EA" w:rsidP="006155EA">
            <w:pPr>
              <w:numPr>
                <w:ilvl w:val="0"/>
                <w:numId w:val="3"/>
              </w:numPr>
            </w:pPr>
            <w:r>
              <w:t xml:space="preserve">Jolantą </w:t>
            </w:r>
            <w:proofErr w:type="spellStart"/>
            <w:r>
              <w:t>Podgórską-Migut</w:t>
            </w:r>
            <w:proofErr w:type="spellEnd"/>
            <w:r>
              <w:t xml:space="preserve">, prowadzącą działalność gospodarczą pod firmą: Sklep </w:t>
            </w:r>
            <w:r>
              <w:lastRenderedPageBreak/>
              <w:t xml:space="preserve">spożywczo-przemysłowy „Bezik” Jolanta Podgórska-Migut; Hotel i Restauracja „Nowy Dwór” Zaczernie Jolanta Podgórska-Migut, </w:t>
            </w:r>
          </w:p>
          <w:p w:rsidR="006155EA" w:rsidRDefault="006155EA" w:rsidP="006155EA">
            <w:pPr>
              <w:numPr>
                <w:ilvl w:val="0"/>
                <w:numId w:val="3"/>
              </w:numPr>
            </w:pPr>
            <w:r>
              <w:t xml:space="preserve">Leszkiem Kozłowskim, prowadzącym działalność gospodarczą pod firmą: Leszek Kozłowski LK Services, </w:t>
            </w:r>
          </w:p>
          <w:p w:rsidR="006155EA" w:rsidRPr="006155EA" w:rsidRDefault="006155EA" w:rsidP="006155EA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LS Airport Services S.A.,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LS </w:t>
            </w:r>
            <w:proofErr w:type="spellStart"/>
            <w:r>
              <w:t>Technics</w:t>
            </w:r>
            <w:proofErr w:type="spellEnd"/>
            <w:r>
              <w:t xml:space="preserve"> sp. z o.o.,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Lotos </w:t>
            </w:r>
            <w:proofErr w:type="spellStart"/>
            <w:r>
              <w:t>Air</w:t>
            </w:r>
            <w:proofErr w:type="spellEnd"/>
            <w:r>
              <w:t xml:space="preserve"> BP Polska sp. z o.o.,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LOT Aircraft Maintenance Services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Lotniczym Dworcem Towarowym Wrocław sp. z o.o.,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proofErr w:type="spellStart"/>
            <w:r>
              <w:t>Monarch</w:t>
            </w:r>
            <w:proofErr w:type="spellEnd"/>
            <w:r>
              <w:t xml:space="preserve"> Aircraft Engineering Limited,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Nayak</w:t>
            </w:r>
            <w:proofErr w:type="spellEnd"/>
            <w:r>
              <w:rPr>
                <w:lang w:val="en-US"/>
              </w:rPr>
              <w:t xml:space="preserve"> Aircraft Service Netherlands B.V.,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Orlen</w:t>
            </w:r>
            <w:proofErr w:type="spellEnd"/>
            <w:r>
              <w:rPr>
                <w:lang w:val="en-US"/>
              </w:rPr>
              <w:t xml:space="preserve"> Aviation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Polita sp. z o.o.,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PZL “Warszawa-Okęcie” S.A.,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proofErr w:type="spellStart"/>
            <w:r>
              <w:t>SprintAir</w:t>
            </w:r>
            <w:proofErr w:type="spellEnd"/>
            <w:r>
              <w:t xml:space="preserve"> S.A.,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STAR EXECUTIVE handling &amp; support Group sp. z </w:t>
            </w:r>
            <w:proofErr w:type="spellStart"/>
            <w:r>
              <w:rPr>
                <w:lang w:val="en-US"/>
              </w:rPr>
              <w:t>o.o</w:t>
            </w:r>
            <w:proofErr w:type="spellEnd"/>
            <w:r>
              <w:rPr>
                <w:lang w:val="en-US"/>
              </w:rPr>
              <w:t xml:space="preserve">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proofErr w:type="spellStart"/>
            <w:r>
              <w:t>Swissport</w:t>
            </w:r>
            <w:proofErr w:type="spellEnd"/>
            <w:r>
              <w:t xml:space="preserve"> Poland sp. z o.o.,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proofErr w:type="spellStart"/>
            <w:r>
              <w:t>Warsaw</w:t>
            </w:r>
            <w:proofErr w:type="spellEnd"/>
            <w:r>
              <w:t xml:space="preserve"> </w:t>
            </w:r>
            <w:proofErr w:type="spellStart"/>
            <w:r>
              <w:t>Dispatch</w:t>
            </w:r>
            <w:proofErr w:type="spellEnd"/>
            <w:r>
              <w:t xml:space="preserve"> sp. z o.o., </w:t>
            </w:r>
          </w:p>
          <w:p w:rsidR="002B634C" w:rsidRDefault="0080442F">
            <w:pPr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 xml:space="preserve">Welcome Airport Services sp. z o. o., </w:t>
            </w:r>
          </w:p>
          <w:p w:rsidR="002B634C" w:rsidRDefault="0080442F">
            <w:pPr>
              <w:numPr>
                <w:ilvl w:val="0"/>
                <w:numId w:val="3"/>
              </w:numPr>
            </w:pPr>
            <w:r>
              <w:t xml:space="preserve">Wojskowymi Zakładami Lotniczymi nr 2 S.A., </w:t>
            </w:r>
          </w:p>
          <w:p w:rsidR="002B634C" w:rsidRDefault="0080442F" w:rsidP="006155EA">
            <w:pPr>
              <w:numPr>
                <w:ilvl w:val="0"/>
                <w:numId w:val="3"/>
              </w:numPr>
            </w:pPr>
            <w:r>
              <w:t>WRO-LOT Usługi Lotniskowe sp. z o.o.</w:t>
            </w:r>
          </w:p>
        </w:tc>
      </w:tr>
      <w:tr w:rsidR="002B634C">
        <w:trPr>
          <w:trHeight w:val="363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 Wpływ na sektor finansów publicznych</w:t>
            </w:r>
          </w:p>
        </w:tc>
      </w:tr>
      <w:tr w:rsidR="002B634C">
        <w:trPr>
          <w:trHeight w:val="142"/>
        </w:trPr>
        <w:tc>
          <w:tcPr>
            <w:tcW w:w="26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ceny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stałe</w:t>
            </w:r>
            <w:proofErr w:type="spellEnd"/>
            <w:r>
              <w:rPr>
                <w:lang w:val="en-US"/>
              </w:rPr>
              <w:t xml:space="preserve"> z 2014 r.)</w:t>
            </w:r>
          </w:p>
        </w:tc>
        <w:tc>
          <w:tcPr>
            <w:tcW w:w="656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Skutki w okresie 10 lat od wejścia w życie zmian [mln zł]</w:t>
            </w:r>
          </w:p>
        </w:tc>
      </w:tr>
      <w:tr w:rsidR="002B634C">
        <w:trPr>
          <w:trHeight w:val="142"/>
        </w:trPr>
        <w:tc>
          <w:tcPr>
            <w:tcW w:w="26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2B634C">
            <w:pPr>
              <w:rPr>
                <w:i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Łącznie</w:t>
            </w:r>
            <w:proofErr w:type="spellEnd"/>
            <w:r>
              <w:rPr>
                <w:i/>
                <w:lang w:val="en-US"/>
              </w:rPr>
              <w:t xml:space="preserve"> (0-10)</w:t>
            </w:r>
          </w:p>
        </w:tc>
      </w:tr>
      <w:tr w:rsidR="002B634C">
        <w:trPr>
          <w:trHeight w:val="321"/>
        </w:trPr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roofErr w:type="spellStart"/>
            <w:r>
              <w:rPr>
                <w:b/>
                <w:lang w:val="en-US"/>
              </w:rPr>
              <w:t>Dochody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ogółem</w:t>
            </w:r>
            <w:proofErr w:type="spellEnd"/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B634C">
        <w:trPr>
          <w:trHeight w:val="321"/>
        </w:trPr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budżet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państwa</w:t>
            </w:r>
            <w:proofErr w:type="spellEnd"/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B634C">
        <w:trPr>
          <w:trHeight w:val="344"/>
        </w:trPr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JST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B634C">
        <w:trPr>
          <w:trHeight w:val="344"/>
        </w:trPr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pozostałe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jednostki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oddzielnie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B634C">
        <w:trPr>
          <w:trHeight w:val="330"/>
        </w:trPr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roofErr w:type="spellStart"/>
            <w:r>
              <w:rPr>
                <w:b/>
                <w:lang w:val="en-US"/>
              </w:rPr>
              <w:t>Wydatki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ogółem</w:t>
            </w:r>
            <w:proofErr w:type="spellEnd"/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B634C">
        <w:trPr>
          <w:trHeight w:val="330"/>
        </w:trPr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budżet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państwa</w:t>
            </w:r>
            <w:proofErr w:type="spellEnd"/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B634C">
        <w:trPr>
          <w:trHeight w:val="351"/>
        </w:trPr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JST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B634C">
        <w:trPr>
          <w:trHeight w:val="351"/>
        </w:trPr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pozostałe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jednostki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oddzielnie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B634C">
        <w:trPr>
          <w:trHeight w:val="360"/>
        </w:trPr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roofErr w:type="spellStart"/>
            <w:r>
              <w:rPr>
                <w:b/>
                <w:lang w:val="en-US"/>
              </w:rPr>
              <w:lastRenderedPageBreak/>
              <w:t>Saldo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ogółem</w:t>
            </w:r>
            <w:proofErr w:type="spellEnd"/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B634C">
        <w:trPr>
          <w:trHeight w:val="360"/>
        </w:trPr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budżet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państwa</w:t>
            </w:r>
            <w:proofErr w:type="spellEnd"/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B634C">
        <w:trPr>
          <w:trHeight w:val="357"/>
        </w:trPr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JST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B634C">
        <w:trPr>
          <w:trHeight w:val="357"/>
        </w:trPr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pozostałe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jednostki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oddzielnie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rPr>
                <w:rFonts w:ascii="Symbol" w:eastAsia="Symbol" w:hAnsi="Symbol" w:cs="Symbol"/>
                <w:lang w:val="en-US"/>
              </w:rPr>
              <w:t>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2B634C">
        <w:trPr>
          <w:trHeight w:val="348"/>
        </w:trPr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Źródła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finansowania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dotyczy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B634C"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Dodatkowe informacje, w tym wskazanie źródeł danych i przyjętych do obliczeń założeń</w:t>
            </w:r>
          </w:p>
        </w:tc>
        <w:tc>
          <w:tcPr>
            <w:tcW w:w="7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Projekt nie wpływa na jednostki sektora finansów publicznych.</w:t>
            </w:r>
          </w:p>
        </w:tc>
      </w:tr>
      <w:tr w:rsidR="002B634C">
        <w:trPr>
          <w:trHeight w:val="345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2B634C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Niniejsze rozporządzenie nie nakłada na podmioty wymagań, które wiązałyby się z poniesieniem dodatkowych nakładów finansowych. Stanowi jedynie dostosowanie rozporządzenia wydanego na podstawie art. 182 ustawy – Prawo lotnicze do </w:t>
            </w:r>
            <w:r>
              <w:rPr>
                <w:bCs/>
              </w:rPr>
              <w:t>ustawy z dnia 11 maja 2017 r. o biegłych rewidentach, firmach audytorskich oraz nadzorze publicznym (Dz. U. poz. 1089).</w:t>
            </w:r>
          </w:p>
        </w:tc>
      </w:tr>
      <w:tr w:rsidR="002B634C">
        <w:trPr>
          <w:trHeight w:val="142"/>
        </w:trPr>
        <w:tc>
          <w:tcPr>
            <w:tcW w:w="3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Czas w latach od wejścia w życie zmian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Łącznie</w:t>
            </w:r>
            <w:proofErr w:type="spellEnd"/>
            <w:r>
              <w:rPr>
                <w:i/>
                <w:lang w:val="en-US"/>
              </w:rPr>
              <w:t xml:space="preserve"> (0-10)</w:t>
            </w:r>
          </w:p>
        </w:tc>
      </w:tr>
      <w:tr w:rsidR="002B634C">
        <w:trPr>
          <w:trHeight w:val="142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W ujęciu pieniężnym</w:t>
            </w:r>
          </w:p>
          <w:p w:rsidR="002B634C" w:rsidRDefault="0080442F">
            <w:r>
              <w:t xml:space="preserve">(w mln zł, </w:t>
            </w:r>
          </w:p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stałe</w:t>
            </w:r>
            <w:proofErr w:type="spellEnd"/>
            <w:r>
              <w:rPr>
                <w:lang w:val="en-US"/>
              </w:rPr>
              <w:t xml:space="preserve"> z 2014 r.)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duże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przedsiębiorstwa</w:t>
            </w:r>
            <w:proofErr w:type="spellEnd"/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</w:tr>
      <w:tr w:rsidR="002B634C">
        <w:trPr>
          <w:trHeight w:val="142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2B634C">
            <w:pPr>
              <w:rPr>
                <w:lang w:val="en-US"/>
              </w:rPr>
            </w:pP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sektor mikro-, małych i średnich przedsiębiorstw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</w:tr>
      <w:tr w:rsidR="002B634C">
        <w:trPr>
          <w:trHeight w:val="142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2B634C">
            <w:pPr>
              <w:rPr>
                <w:lang w:val="en-US"/>
              </w:rPr>
            </w:pP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rodzina, obywatele oraz gospodarstwa domowe</w:t>
            </w:r>
          </w:p>
        </w:tc>
        <w:tc>
          <w:tcPr>
            <w:tcW w:w="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>―</w:t>
            </w:r>
          </w:p>
        </w:tc>
      </w:tr>
      <w:tr w:rsidR="002B634C">
        <w:trPr>
          <w:trHeight w:val="142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  <w:proofErr w:type="spellStart"/>
            <w:r>
              <w:rPr>
                <w:lang w:val="en-US"/>
              </w:rPr>
              <w:t>ujęciu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niepieniężnym</w:t>
            </w:r>
            <w:proofErr w:type="spellEnd"/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duże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przedsiębiorstwa</w:t>
            </w:r>
            <w:proofErr w:type="spellEnd"/>
          </w:p>
        </w:tc>
        <w:tc>
          <w:tcPr>
            <w:tcW w:w="58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Nie dotyczy. </w:t>
            </w:r>
          </w:p>
        </w:tc>
      </w:tr>
      <w:tr w:rsidR="002B634C">
        <w:trPr>
          <w:trHeight w:val="142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2B634C"/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sektor mikro-, małych i średnich przedsiębiorstw</w:t>
            </w:r>
          </w:p>
        </w:tc>
        <w:tc>
          <w:tcPr>
            <w:tcW w:w="58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Nie dotyczy. </w:t>
            </w:r>
          </w:p>
        </w:tc>
      </w:tr>
      <w:tr w:rsidR="002B634C">
        <w:trPr>
          <w:trHeight w:val="596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2B634C"/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rodzina, obywatele oraz gospodarstwa </w:t>
            </w:r>
            <w:r>
              <w:lastRenderedPageBreak/>
              <w:t xml:space="preserve">domowe </w:t>
            </w:r>
          </w:p>
        </w:tc>
        <w:tc>
          <w:tcPr>
            <w:tcW w:w="58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lastRenderedPageBreak/>
              <w:t xml:space="preserve">Nie dotyczy. </w:t>
            </w:r>
          </w:p>
        </w:tc>
      </w:tr>
      <w:tr w:rsidR="002B634C">
        <w:trPr>
          <w:trHeight w:val="142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lastRenderedPageBreak/>
              <w:t>Nie</w:t>
            </w:r>
            <w:proofErr w:type="spellStart"/>
            <w:r>
              <w:rPr>
                <w:lang w:val="en-US"/>
              </w:rPr>
              <w:t>mierzalne</w:t>
            </w:r>
            <w:proofErr w:type="spellEnd"/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2B634C">
            <w:pPr>
              <w:rPr>
                <w:lang w:val="en-US"/>
              </w:rPr>
            </w:pPr>
          </w:p>
        </w:tc>
        <w:tc>
          <w:tcPr>
            <w:tcW w:w="58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Nie dotyczy. </w:t>
            </w:r>
          </w:p>
        </w:tc>
      </w:tr>
      <w:tr w:rsidR="002B634C">
        <w:trPr>
          <w:trHeight w:val="142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2B634C"/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2B634C"/>
        </w:tc>
        <w:tc>
          <w:tcPr>
            <w:tcW w:w="588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2B634C"/>
        </w:tc>
      </w:tr>
      <w:tr w:rsidR="002B634C"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Dodatkowe informacje, w tym wskazanie źródeł danych i przyjętych do obliczeń założeń </w:t>
            </w:r>
          </w:p>
        </w:tc>
        <w:tc>
          <w:tcPr>
            <w:tcW w:w="7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r>
              <w:t xml:space="preserve">Nie dotyczy. </w:t>
            </w:r>
          </w:p>
          <w:p w:rsidR="002B634C" w:rsidRDefault="002B634C"/>
          <w:p w:rsidR="002B634C" w:rsidRDefault="002B634C"/>
          <w:p w:rsidR="002B634C" w:rsidRDefault="002B634C"/>
        </w:tc>
      </w:tr>
      <w:tr w:rsidR="002B634C">
        <w:trPr>
          <w:trHeight w:val="3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Zmiana obciążeń regulacyjnych (w tym obowiązków informacyjnych) wynikających z projektu</w:t>
            </w:r>
          </w:p>
        </w:tc>
      </w:tr>
      <w:tr w:rsidR="002B634C">
        <w:trPr>
          <w:trHeight w:val="151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 w:rsidRPr="006155EA">
              <w:t xml:space="preserve"> </w:t>
            </w: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dotyczy</w:t>
            </w:r>
            <w:proofErr w:type="spellEnd"/>
          </w:p>
        </w:tc>
      </w:tr>
      <w:tr w:rsidR="002B634C">
        <w:trPr>
          <w:trHeight w:val="946"/>
        </w:trPr>
        <w:tc>
          <w:tcPr>
            <w:tcW w:w="3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Wprowadzane są obciążenia poza bezwzględnie wymaganymi przez UE (szczegóły w odwróconej tabeli zgodności).</w:t>
            </w:r>
          </w:p>
        </w:tc>
        <w:tc>
          <w:tcPr>
            <w:tcW w:w="52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 w:rsidRPr="006155EA">
              <w:t xml:space="preserve">  </w:t>
            </w:r>
            <w:proofErr w:type="spellStart"/>
            <w:r>
              <w:rPr>
                <w:lang w:val="en-US"/>
              </w:rPr>
              <w:t>tak</w:t>
            </w:r>
            <w:proofErr w:type="spellEnd"/>
          </w:p>
          <w:p w:rsidR="002B634C" w:rsidRDefault="0080442F"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:rsidR="002B634C" w:rsidRDefault="0080442F"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dotyczy</w:t>
            </w:r>
            <w:proofErr w:type="spellEnd"/>
          </w:p>
        </w:tc>
      </w:tr>
      <w:tr w:rsidR="002B634C">
        <w:trPr>
          <w:trHeight w:val="1245"/>
        </w:trPr>
        <w:tc>
          <w:tcPr>
            <w:tcW w:w="3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  zmniejszenie liczby dokumentów </w:t>
            </w:r>
          </w:p>
          <w:p w:rsidR="002B634C" w:rsidRDefault="0080442F">
            <w:r>
              <w:t xml:space="preserve">  zmniejszenie liczby procedur</w:t>
            </w:r>
          </w:p>
          <w:p w:rsidR="002B634C" w:rsidRDefault="0080442F">
            <w:r>
              <w:t xml:space="preserve">  skrócenie czasu na załatwienie sprawy</w:t>
            </w:r>
          </w:p>
          <w:p w:rsidR="002B634C" w:rsidRDefault="0080442F">
            <w:r>
              <w:t xml:space="preserve">  inne: 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</w:p>
        </w:tc>
        <w:tc>
          <w:tcPr>
            <w:tcW w:w="52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  zwiększenie liczby dokumentów</w:t>
            </w:r>
          </w:p>
          <w:p w:rsidR="002B634C" w:rsidRDefault="0080442F">
            <w:r>
              <w:t xml:space="preserve">  zwiększenie liczby procedur</w:t>
            </w:r>
          </w:p>
          <w:p w:rsidR="002B634C" w:rsidRDefault="0080442F">
            <w:r>
              <w:t xml:space="preserve">  wydłużenie czasu na załatwienie sprawy</w:t>
            </w:r>
          </w:p>
          <w:p w:rsidR="002B634C" w:rsidRDefault="0080442F">
            <w:r>
              <w:t xml:space="preserve">  inne: 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  <w:r>
              <w:rPr>
                <w:lang w:val="en-US"/>
              </w:rPr>
              <w:t> </w:t>
            </w:r>
          </w:p>
          <w:p w:rsidR="002B634C" w:rsidRDefault="002B634C"/>
        </w:tc>
      </w:tr>
      <w:tr w:rsidR="002B634C">
        <w:trPr>
          <w:trHeight w:val="832"/>
        </w:trPr>
        <w:tc>
          <w:tcPr>
            <w:tcW w:w="3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Wprowadzane obciążenia są przystosowane do ich elektronizacji.</w:t>
            </w:r>
          </w:p>
        </w:tc>
        <w:tc>
          <w:tcPr>
            <w:tcW w:w="52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 w:rsidRPr="006155EA">
              <w:t xml:space="preserve">  </w:t>
            </w:r>
            <w:proofErr w:type="spellStart"/>
            <w:r>
              <w:rPr>
                <w:lang w:val="en-US"/>
              </w:rPr>
              <w:t>tak</w:t>
            </w:r>
            <w:proofErr w:type="spellEnd"/>
          </w:p>
          <w:p w:rsidR="002B634C" w:rsidRDefault="0080442F"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nie</w:t>
            </w:r>
            <w:proofErr w:type="spellEnd"/>
          </w:p>
          <w:p w:rsidR="002B634C" w:rsidRDefault="0080442F"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dotyczy</w:t>
            </w:r>
            <w:proofErr w:type="spellEnd"/>
          </w:p>
          <w:p w:rsidR="002B634C" w:rsidRDefault="002B634C">
            <w:pPr>
              <w:rPr>
                <w:lang w:val="en-US"/>
              </w:rPr>
            </w:pPr>
          </w:p>
        </w:tc>
      </w:tr>
      <w:tr w:rsidR="002B634C">
        <w:trPr>
          <w:trHeight w:val="424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Komentarz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dotyczy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B634C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numPr>
                <w:ilvl w:val="0"/>
                <w:numId w:val="2"/>
              </w:num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Wpływ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rynek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pracy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2B634C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Projektowana zmiana rozporządzenia nie ma wpływu na rynek pracy.</w:t>
            </w:r>
          </w:p>
        </w:tc>
      </w:tr>
      <w:tr w:rsidR="002B634C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numPr>
                <w:ilvl w:val="0"/>
                <w:numId w:val="2"/>
              </w:num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Wpływ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pozostałe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obszary</w:t>
            </w:r>
            <w:proofErr w:type="spellEnd"/>
          </w:p>
        </w:tc>
      </w:tr>
      <w:tr w:rsidR="002B634C">
        <w:trPr>
          <w:trHeight w:val="1031"/>
        </w:trPr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2B634C">
            <w:pPr>
              <w:rPr>
                <w:lang w:val="en-US"/>
              </w:rPr>
            </w:pPr>
          </w:p>
          <w:p w:rsidR="002B634C" w:rsidRDefault="0080442F">
            <w:r>
              <w:t xml:space="preserve"> środowisko naturalne</w:t>
            </w:r>
          </w:p>
          <w:p w:rsidR="002B634C" w:rsidRDefault="0080442F">
            <w:r>
              <w:t xml:space="preserve"> sytuacja i rozwój regionalny</w:t>
            </w:r>
          </w:p>
          <w:p w:rsidR="002B634C" w:rsidRDefault="0080442F"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inne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dotyczy</w:t>
            </w:r>
            <w:proofErr w:type="spellEnd"/>
          </w:p>
        </w:tc>
        <w:tc>
          <w:tcPr>
            <w:tcW w:w="24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2B634C">
            <w:pPr>
              <w:rPr>
                <w:lang w:val="en-US"/>
              </w:rPr>
            </w:pPr>
          </w:p>
          <w:p w:rsidR="002B634C" w:rsidRDefault="0080442F"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demografia</w:t>
            </w:r>
            <w:proofErr w:type="spellEnd"/>
          </w:p>
          <w:p w:rsidR="002B634C" w:rsidRDefault="0080442F"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państwowe</w:t>
            </w:r>
            <w:proofErr w:type="spellEnd"/>
          </w:p>
        </w:tc>
        <w:tc>
          <w:tcPr>
            <w:tcW w:w="3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2B634C">
            <w:pPr>
              <w:rPr>
                <w:lang w:val="en-US"/>
              </w:rPr>
            </w:pPr>
          </w:p>
          <w:p w:rsidR="002B634C" w:rsidRDefault="0080442F"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informatyzacja</w:t>
            </w:r>
            <w:proofErr w:type="spellEnd"/>
          </w:p>
          <w:p w:rsidR="002B634C" w:rsidRDefault="0080442F"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zdrowie</w:t>
            </w:r>
            <w:proofErr w:type="spellEnd"/>
          </w:p>
        </w:tc>
      </w:tr>
      <w:tr w:rsidR="002B634C">
        <w:trPr>
          <w:trHeight w:val="471"/>
        </w:trPr>
        <w:tc>
          <w:tcPr>
            <w:tcW w:w="1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Omówienie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wpływu</w:t>
            </w:r>
            <w:proofErr w:type="spellEnd"/>
          </w:p>
        </w:tc>
        <w:tc>
          <w:tcPr>
            <w:tcW w:w="719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dotyczy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B634C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Planowane wykonanie przepisów aktu prawnego</w:t>
            </w:r>
          </w:p>
        </w:tc>
      </w:tr>
      <w:tr w:rsidR="002B634C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 xml:space="preserve">Planuje się, aby zmiana </w:t>
            </w:r>
            <w:r>
              <w:rPr>
                <w:bCs/>
              </w:rPr>
              <w:t xml:space="preserve">rozporządzenia </w:t>
            </w:r>
            <w:r>
              <w:t>weszła w życie w dniu następującym po dniu ogłoszenia.</w:t>
            </w:r>
          </w:p>
          <w:p w:rsidR="002B634C" w:rsidRDefault="0080442F">
            <w:r>
              <w:t xml:space="preserve">Wykonanie rozporządzenia nastąpi wraz z przedkładaniem przez agentów obsługi naziemnej - </w:t>
            </w:r>
            <w:r>
              <w:rPr>
                <w:bCs/>
              </w:rPr>
              <w:t xml:space="preserve">wymaganych </w:t>
            </w:r>
            <w:r>
              <w:t>§ 4 ust. 2 pkt 1</w:t>
            </w:r>
            <w:r>
              <w:rPr>
                <w:bCs/>
              </w:rPr>
              <w:t xml:space="preserve"> rozporządzenia dokumentów -  przy ubieganiu się o zezwolenie na obsługę naziemną.</w:t>
            </w:r>
          </w:p>
        </w:tc>
      </w:tr>
      <w:tr w:rsidR="002B634C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 W jaki sposób i kiedy nastąpi ewaluacja efektów projektu oraz jakie mierniki zostaną zastosowane?</w:t>
            </w:r>
          </w:p>
        </w:tc>
      </w:tr>
      <w:tr w:rsidR="002B634C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dotyczy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2B634C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Załączniki (istotne dokumenty źródłowe, badania, analizy itp.) </w:t>
            </w:r>
          </w:p>
        </w:tc>
      </w:tr>
      <w:tr w:rsidR="002B634C">
        <w:trPr>
          <w:trHeight w:val="299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B634C" w:rsidRDefault="0080442F">
            <w:r>
              <w:t>Nie dotyczy.</w:t>
            </w:r>
          </w:p>
        </w:tc>
      </w:tr>
    </w:tbl>
    <w:p w:rsidR="002B634C" w:rsidRDefault="002B634C"/>
    <w:p w:rsidR="002B634C" w:rsidRDefault="002B634C"/>
    <w:p w:rsidR="002B634C" w:rsidRDefault="002B634C"/>
    <w:sectPr w:rsidR="002B634C" w:rsidSect="006155EA">
      <w:headerReference w:type="default" r:id="rId8"/>
      <w:headerReference w:type="first" r:id="rId9"/>
      <w:pgSz w:w="11906" w:h="16838"/>
      <w:pgMar w:top="851" w:right="1434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AA" w:rsidRDefault="004D2AAA">
      <w:pPr>
        <w:spacing w:after="0"/>
      </w:pPr>
      <w:r>
        <w:separator/>
      </w:r>
    </w:p>
  </w:endnote>
  <w:endnote w:type="continuationSeparator" w:id="0">
    <w:p w:rsidR="004D2AAA" w:rsidRDefault="004D2A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AA" w:rsidRDefault="004D2AA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D2AAA" w:rsidRDefault="004D2A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E76" w:rsidRDefault="0080442F">
    <w:pPr>
      <w:pStyle w:val="Nagwek"/>
      <w:jc w:val="center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265BA0">
      <w:rPr>
        <w:noProof/>
      </w:rPr>
      <w:t>6</w:t>
    </w:r>
    <w: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97523"/>
      <w:docPartObj>
        <w:docPartGallery w:val="Page Numbers (Top of Page)"/>
        <w:docPartUnique/>
      </w:docPartObj>
    </w:sdtPr>
    <w:sdtContent>
      <w:p w:rsidR="00265BA0" w:rsidRDefault="00265BA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5BA0" w:rsidRDefault="00265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62B0"/>
    <w:multiLevelType w:val="multilevel"/>
    <w:tmpl w:val="A6F809C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D1CB5"/>
    <w:multiLevelType w:val="multilevel"/>
    <w:tmpl w:val="06E6F6C8"/>
    <w:lvl w:ilvl="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>
    <w:nsid w:val="51241E9A"/>
    <w:multiLevelType w:val="multilevel"/>
    <w:tmpl w:val="44C831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7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34C"/>
    <w:rsid w:val="00265BA0"/>
    <w:rsid w:val="002B634C"/>
    <w:rsid w:val="004D2AAA"/>
    <w:rsid w:val="006155EA"/>
    <w:rsid w:val="0080442F"/>
    <w:rsid w:val="009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spacing w:after="120" w:line="240" w:lineRule="auto"/>
      <w:jc w:val="both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pPr>
      <w:keepNext/>
      <w:keepLines/>
      <w:autoSpaceDE/>
      <w:spacing w:before="480" w:after="0" w:line="360" w:lineRule="auto"/>
      <w:jc w:val="left"/>
      <w:textAlignment w:val="auto"/>
      <w:outlineLvl w:val="0"/>
    </w:pPr>
    <w:rPr>
      <w:rFonts w:ascii="Cambria" w:hAnsi="Cambria" w:cs="Times New Roman"/>
      <w:b/>
      <w:bCs/>
      <w:color w:val="365F91"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pPr>
      <w:ind w:left="1021"/>
    </w:pPr>
  </w:style>
  <w:style w:type="paragraph" w:customStyle="1" w:styleId="2TIRpodwjnytiret">
    <w:name w:val="2TIR – podwójny tiret"/>
    <w:basedOn w:val="TIRtiret"/>
    <w:pPr>
      <w:ind w:left="1780"/>
    </w:p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autoSpaceDE/>
      <w:spacing w:after="0" w:line="360" w:lineRule="auto"/>
      <w:jc w:val="left"/>
      <w:textAlignment w:val="auto"/>
    </w:pPr>
    <w:rPr>
      <w:rFonts w:ascii="Times" w:hAnsi="Times" w:cs="Times New Roman"/>
      <w:kern w:val="3"/>
      <w:szCs w:val="24"/>
      <w:lang w:eastAsia="ar-SA"/>
    </w:rPr>
  </w:style>
  <w:style w:type="character" w:customStyle="1" w:styleId="NagwekZnak">
    <w:name w:val="Nagłówek Znak"/>
    <w:uiPriority w:val="99"/>
    <w:rPr>
      <w:rFonts w:eastAsia="Times New Roman" w:cs="Arial"/>
      <w:kern w:val="3"/>
      <w:sz w:val="20"/>
      <w:szCs w:val="20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  <w:spacing w:after="0" w:line="360" w:lineRule="auto"/>
      <w:jc w:val="left"/>
      <w:textAlignment w:val="auto"/>
    </w:pPr>
    <w:rPr>
      <w:rFonts w:ascii="Times" w:hAnsi="Times" w:cs="Times New Roman"/>
      <w:kern w:val="3"/>
      <w:szCs w:val="24"/>
      <w:lang w:eastAsia="ar-SA"/>
    </w:rPr>
  </w:style>
  <w:style w:type="character" w:customStyle="1" w:styleId="StopkaZnak">
    <w:name w:val="Stopka Znak"/>
    <w:rPr>
      <w:rFonts w:eastAsia="Times New Roman" w:cs="Arial"/>
      <w:kern w:val="3"/>
      <w:sz w:val="20"/>
      <w:szCs w:val="20"/>
      <w:lang w:eastAsia="ar-SA"/>
    </w:rPr>
  </w:style>
  <w:style w:type="paragraph" w:styleId="Tekstdymka">
    <w:name w:val="Balloon Text"/>
    <w:basedOn w:val="Normalny"/>
    <w:pPr>
      <w:autoSpaceDE/>
      <w:spacing w:after="0" w:line="360" w:lineRule="auto"/>
      <w:jc w:val="left"/>
      <w:textAlignment w:val="auto"/>
    </w:pPr>
    <w:rPr>
      <w:rFonts w:ascii="Tahoma" w:hAnsi="Tahoma" w:cs="Tahoma"/>
      <w:kern w:val="3"/>
      <w:szCs w:val="16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/>
      <w:ind w:firstLine="510"/>
      <w:jc w:val="both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pPr>
      <w:ind w:left="1497"/>
    </w:pPr>
  </w:style>
  <w:style w:type="paragraph" w:customStyle="1" w:styleId="ZTIRwLITzmtirwlitartykuempunktem">
    <w:name w:val="Z/TIR_w_LIT – zm. tir. w lit. artykułem (punktem)"/>
    <w:basedOn w:val="TIRtiret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Bezodstpw">
    <w:name w:val="No Spacing"/>
    <w:pPr>
      <w:widowControl w:val="0"/>
      <w:suppressAutoHyphens/>
    </w:pPr>
    <w:rPr>
      <w:kern w:val="3"/>
      <w:lang w:eastAsia="ar-SA"/>
    </w:rPr>
  </w:style>
  <w:style w:type="paragraph" w:customStyle="1" w:styleId="ZPKTzmpktartykuempunktem">
    <w:name w:val="Z/PKT – zm. pkt artykułem (punktem)"/>
    <w:basedOn w:val="PKTpunkt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pPr>
      <w:keepNext/>
      <w:suppressAutoHyphens/>
      <w:spacing w:before="120" w:after="120"/>
      <w:jc w:val="center"/>
    </w:pPr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pPr>
      <w:keepNext/>
      <w:suppressAutoHyphens/>
      <w:spacing w:before="120" w:after="360"/>
      <w:jc w:val="center"/>
    </w:pPr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pPr>
      <w:keepNext/>
      <w:suppressAutoHyphens/>
      <w:spacing w:before="120"/>
      <w:jc w:val="center"/>
    </w:pPr>
    <w:rPr>
      <w:b/>
      <w:bCs/>
      <w:caps/>
      <w:kern w:val="3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pPr>
      <w:keepNext/>
      <w:suppressAutoHyphens/>
      <w:spacing w:after="120"/>
      <w:jc w:val="center"/>
    </w:pPr>
    <w:rPr>
      <w:b/>
      <w:bCs/>
      <w:caps/>
      <w:spacing w:val="54"/>
      <w:kern w:val="3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ind w:left="510" w:hanging="510"/>
      <w:jc w:val="both"/>
    </w:pPr>
    <w:rPr>
      <w:rFonts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pPr>
      <w:ind w:left="0" w:firstLine="0"/>
    </w:p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pPr>
      <w:keepNext/>
      <w:suppressAutoHyphens/>
      <w:spacing w:before="120"/>
      <w:jc w:val="center"/>
    </w:pPr>
    <w:rPr>
      <w:b/>
      <w:bCs/>
    </w:rPr>
  </w:style>
  <w:style w:type="paragraph" w:customStyle="1" w:styleId="ZLITzmlitartykuempunktem">
    <w:name w:val="Z/LIT – zm. lit. artykułem (punktem)"/>
    <w:basedOn w:val="LITliter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pPr>
      <w:ind w:left="1463"/>
    </w:pPr>
  </w:style>
  <w:style w:type="paragraph" w:customStyle="1" w:styleId="ZLITTIRwLITzmtirwlitliter">
    <w:name w:val="Z_LIT/TIR_w_LIT – zm. tir. w lit. literą"/>
    <w:basedOn w:val="TIRtiret"/>
    <w:pPr>
      <w:ind w:left="1860"/>
    </w:pPr>
  </w:style>
  <w:style w:type="paragraph" w:customStyle="1" w:styleId="TYTDZOZNoznaczenietytuulubdziau">
    <w:name w:val="TYT(DZ)_OZN – oznaczenie tytułu lub działu"/>
    <w:next w:val="Normalny"/>
    <w:pPr>
      <w:keepNext/>
      <w:suppressAutoHyphens/>
      <w:spacing w:before="120"/>
      <w:jc w:val="center"/>
    </w:pPr>
    <w:rPr>
      <w:rFonts w:cs="Arial"/>
      <w:bCs/>
      <w:caps/>
      <w:kern w:val="3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pPr>
      <w:ind w:left="510"/>
    </w:pPr>
  </w:style>
  <w:style w:type="paragraph" w:customStyle="1" w:styleId="ZZLITzmianazmlit">
    <w:name w:val="ZZ/LIT – zmiana zm. lit."/>
    <w:basedOn w:val="ZZPKTzmianazmpkt"/>
    <w:pPr>
      <w:ind w:left="2370" w:hanging="476"/>
    </w:pPr>
  </w:style>
  <w:style w:type="paragraph" w:customStyle="1" w:styleId="ZZTIRzmianazmtir">
    <w:name w:val="ZZ/TIR – zmiana zm. tir."/>
    <w:basedOn w:val="ZZLITzmianazmlit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pPr>
      <w:keepNext/>
      <w:suppressAutoHyphens/>
      <w:ind w:left="510"/>
      <w:jc w:val="center"/>
    </w:pPr>
    <w:rPr>
      <w:rFonts w:cs="Arial"/>
      <w:bCs/>
      <w:kern w:val="3"/>
    </w:rPr>
  </w:style>
  <w:style w:type="paragraph" w:customStyle="1" w:styleId="ZLITUSTzmustliter">
    <w:name w:val="Z_LIT/UST(§) – zm. ust. (§) literą"/>
    <w:basedOn w:val="USTustnpkodeksu"/>
    <w:pPr>
      <w:ind w:left="987"/>
    </w:pPr>
  </w:style>
  <w:style w:type="paragraph" w:customStyle="1" w:styleId="ZLITPKTzmpktliter">
    <w:name w:val="Z_LIT/PKT – zm. pkt literą"/>
    <w:basedOn w:val="PKTpunkt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pPr>
      <w:ind w:firstLine="0"/>
    </w:pPr>
  </w:style>
  <w:style w:type="paragraph" w:customStyle="1" w:styleId="ZLITLITzmlitliter">
    <w:name w:val="Z_LIT/LIT – zm. lit. literą"/>
    <w:basedOn w:val="LITliter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pPr>
      <w:ind w:left="987"/>
    </w:pPr>
  </w:style>
  <w:style w:type="paragraph" w:customStyle="1" w:styleId="ZLITTIRzmtirliter">
    <w:name w:val="Z_LIT/TIR – zm. tir. literą"/>
    <w:basedOn w:val="TIRtiret"/>
  </w:style>
  <w:style w:type="paragraph" w:customStyle="1" w:styleId="ZZCZWSPLITwPKTzmianazmczciwsplitwpkt">
    <w:name w:val="ZZ/CZ_WSP_LIT_w_PKT – zmiana zm. części wsp. lit. w pkt"/>
    <w:basedOn w:val="ZZLITwPKTzmianazmlitwpkt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pPr>
      <w:ind w:left="1497"/>
    </w:pPr>
  </w:style>
  <w:style w:type="paragraph" w:customStyle="1" w:styleId="ZLITTIRwPKTzmtirwpktliter">
    <w:name w:val="Z_LIT/TIR_w_PKT – zm. tir. w pkt literą"/>
    <w:basedOn w:val="TIRtiret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pPr>
      <w:ind w:left="1973"/>
    </w:pPr>
  </w:style>
  <w:style w:type="paragraph" w:styleId="Tekstprzypisudolnego">
    <w:name w:val="footnote text"/>
    <w:basedOn w:val="Normalny"/>
    <w:pPr>
      <w:spacing w:after="0" w:line="360" w:lineRule="auto"/>
      <w:jc w:val="left"/>
      <w:textAlignment w:val="auto"/>
    </w:pPr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rPr>
      <w:sz w:val="20"/>
    </w:rPr>
  </w:style>
  <w:style w:type="paragraph" w:customStyle="1" w:styleId="ZTIRLITzmlittiret">
    <w:name w:val="Z_TIR/LIT – zm. lit. tiret"/>
    <w:basedOn w:val="LITliter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pPr>
      <w:ind w:left="1383"/>
    </w:pPr>
  </w:style>
  <w:style w:type="paragraph" w:customStyle="1" w:styleId="ZTIRTIRzmtirtiret">
    <w:name w:val="Z_TIR/TIR – zm. tir. tiret"/>
    <w:basedOn w:val="TIRtiret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pPr>
      <w:ind w:left="2767"/>
    </w:pPr>
  </w:style>
  <w:style w:type="paragraph" w:customStyle="1" w:styleId="ZTIRTIRwLITzmtirwlittiret">
    <w:name w:val="Z_TIR/TIR_w_LIT – zm. tir. w lit. tiret"/>
    <w:basedOn w:val="TIRtiret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pPr>
      <w:ind w:left="1780"/>
    </w:pPr>
  </w:style>
  <w:style w:type="paragraph" w:customStyle="1" w:styleId="Z2TIRzmpodwtirartykuempunktem">
    <w:name w:val="Z/2TIR – zm. podw. tir. artykułem (punktem)"/>
    <w:basedOn w:val="TIRtiret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pPr>
      <w:ind w:left="2370" w:firstLine="0"/>
    </w:pPr>
  </w:style>
  <w:style w:type="paragraph" w:customStyle="1" w:styleId="ZLIT2TIRzmpodwtirliter">
    <w:name w:val="Z_LIT/2TIR – zm. podw. tir. literą"/>
    <w:basedOn w:val="TIRtiret"/>
  </w:style>
  <w:style w:type="paragraph" w:customStyle="1" w:styleId="ZTIR2TIRzmpodwtirtiret">
    <w:name w:val="Z_TIR/2TIR – zm. podw. tir. tiret"/>
    <w:basedOn w:val="TIRtiret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pPr>
      <w:ind w:left="2291"/>
    </w:pPr>
  </w:style>
  <w:style w:type="paragraph" w:customStyle="1" w:styleId="ZTIRPKTzmpkttiret">
    <w:name w:val="Z_TIR/PKT – zm. pkt tiret"/>
    <w:basedOn w:val="PKTpunkt"/>
    <w:pPr>
      <w:ind w:left="1893"/>
    </w:p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pPr>
      <w:ind w:left="1860"/>
    </w:pPr>
  </w:style>
  <w:style w:type="paragraph" w:customStyle="1" w:styleId="ZTIR2TIRwLITzmpodwtirwlittiret">
    <w:name w:val="Z_TIR/2TIR_w_LIT – zm. podw. tir. w lit. tiret"/>
    <w:basedOn w:val="TIRtiret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pPr>
      <w:ind w:left="2257"/>
    </w:pPr>
  </w:style>
  <w:style w:type="paragraph" w:customStyle="1" w:styleId="ZTIR2TIRwTIRzmpodwtirwtirtiret">
    <w:name w:val="Z_TIR/2TIR_w_TIR – zm. podw. tir. w tir. tiret"/>
    <w:basedOn w:val="TIRtiret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pPr>
      <w:ind w:left="1780"/>
    </w:pPr>
  </w:style>
  <w:style w:type="paragraph" w:customStyle="1" w:styleId="Z2TIRLITzmlitpodwjnymtiret">
    <w:name w:val="Z_2TIR/LIT – zm. lit. podwójnym tiret"/>
    <w:basedOn w:val="LITliter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after="0" w:line="360" w:lineRule="auto"/>
      <w:jc w:val="left"/>
      <w:textAlignment w:val="auto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pPr>
      <w:ind w:left="1894"/>
    </w:pPr>
  </w:style>
  <w:style w:type="paragraph" w:customStyle="1" w:styleId="ZZPKTzmianazmpkt">
    <w:name w:val="ZZ/PKT – zmiana zm. pkt"/>
    <w:basedOn w:val="ZPKTzmpktartykuempunktem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pPr>
      <w:ind w:left="2404"/>
    </w:pPr>
  </w:style>
  <w:style w:type="paragraph" w:customStyle="1" w:styleId="ODNONIKtreodnonika">
    <w:name w:val="ODNOŚNIK – treść odnośnika"/>
    <w:pPr>
      <w:suppressAutoHyphens/>
      <w:spacing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pPr>
      <w:keepNext/>
      <w:suppressAutoHyphens/>
      <w:spacing w:before="120"/>
      <w:jc w:val="center"/>
    </w:pPr>
    <w:rPr>
      <w:rFonts w:cs="Arial"/>
      <w:bCs/>
      <w:kern w:val="3"/>
    </w:rPr>
  </w:style>
  <w:style w:type="paragraph" w:customStyle="1" w:styleId="Z2TIR2TIRzmpodwtirpodwjnymtiret">
    <w:name w:val="Z_2TIR/2TIR – zm. podw. tir. podwójnym tiret"/>
    <w:basedOn w:val="TIRtiret"/>
    <w:pPr>
      <w:ind w:left="2177"/>
    </w:pPr>
  </w:style>
  <w:style w:type="paragraph" w:customStyle="1" w:styleId="Z2TIRTIRzmtirpodwjnymtiret">
    <w:name w:val="Z_2TIR/TIR – zm. tir. podwójnym tiret"/>
    <w:basedOn w:val="TIRtiret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</w:style>
  <w:style w:type="paragraph" w:customStyle="1" w:styleId="ZLIT2TIRwTIRzmpodwtirwtirliter">
    <w:name w:val="Z_LIT/2TIR_w_TIR – zm. podw. tir. w tir. literą"/>
    <w:basedOn w:val="ZLIT2TIRzmpodwtirliter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</w:style>
  <w:style w:type="paragraph" w:customStyle="1" w:styleId="ZZ2TIRzmianazmpodwtir">
    <w:name w:val="ZZ/2TIR – zmiana zm. podw. tir."/>
    <w:basedOn w:val="ZZCZWSP2TIRzmianazmczciwsppodwtir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</w:style>
  <w:style w:type="paragraph" w:customStyle="1" w:styleId="ZLITCZWSPLITzmczciwsplitliter">
    <w:name w:val="Z_LIT/CZ_WSP_LIT – zm. części wsp. lit. literą"/>
    <w:basedOn w:val="ZLITCZWSPPKTzmczciwsppktliter"/>
    <w:next w:val="LITlitera"/>
  </w:style>
  <w:style w:type="paragraph" w:customStyle="1" w:styleId="ZLITCZWSPTIRzmczciwsptirliter">
    <w:name w:val="Z_LIT/CZ_WSP_TIR – zm. części wsp. tir. literą"/>
    <w:basedOn w:val="ZLITCZWSPPKTzmczciwsppktliter"/>
    <w:next w:val="LITlitera"/>
  </w:style>
  <w:style w:type="paragraph" w:customStyle="1" w:styleId="ZTIRCZWSPLITzmczciwsplittiret">
    <w:name w:val="Z_TIR/CZ_WSP_LIT – zm. części wsp. lit. tiret"/>
    <w:basedOn w:val="ZTIRCZWSPPKTzmczciwsppkttiret"/>
    <w:next w:val="TIRtiret"/>
  </w:style>
  <w:style w:type="paragraph" w:customStyle="1" w:styleId="ZTIRCZWSPTIRzmczciwsptirtiret">
    <w:name w:val="Z_TIR/CZ_WSP_TIR – zm. części wsp. tir. tiret"/>
    <w:basedOn w:val="ZTIRCZWSPPKTzmczciwsppkttiret"/>
    <w:next w:val="TIRtiret"/>
  </w:style>
  <w:style w:type="paragraph" w:customStyle="1" w:styleId="ZZCZWSPLITzmianazmczciwsplit">
    <w:name w:val="ZZ/CZ_WSP_LIT – zmiana. zm. części wsp. lit."/>
    <w:basedOn w:val="ZZCZWSPPKTzmianazmczciwsppkt"/>
  </w:style>
  <w:style w:type="paragraph" w:customStyle="1" w:styleId="ZZCZWSPTIRzmianazmczciwsptir">
    <w:name w:val="ZZ/CZ_WSP_TIR – zmiana. zm. części wsp. tir."/>
    <w:basedOn w:val="ZZCZWSPPKTzmianazmczciwsppkt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ZZUSTzmianazmust">
    <w:name w:val="ZZ/UST(§) – zmiana zm. ust. (§)"/>
    <w:basedOn w:val="ZZARTzmianazmart"/>
  </w:style>
  <w:style w:type="paragraph" w:customStyle="1" w:styleId="TYTDZPRZEDMprzedmiotregulacjitytuulubdziau">
    <w:name w:val="TYT(DZ)_PRZEDM – przedmiot regulacji tytułu lub działu"/>
    <w:next w:val="ARTartustawynprozporzdzeni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pPr>
      <w:ind w:left="1894"/>
    </w:pPr>
  </w:style>
  <w:style w:type="paragraph" w:customStyle="1" w:styleId="P1wTABELIpoziom1numeracjiwtabeli">
    <w:name w:val="P1_w_TABELI – poziom 1 numeracji w tabeli"/>
    <w:basedOn w:val="PKTpunkt"/>
    <w:pPr>
      <w:ind w:left="397" w:hanging="397"/>
    </w:pPr>
    <w:rPr>
      <w:kern w:val="3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pPr>
      <w:ind w:left="1588"/>
    </w:pPr>
  </w:style>
  <w:style w:type="paragraph" w:customStyle="1" w:styleId="TYTTABELItytutabeli">
    <w:name w:val="TYT_TABELI – tytuł tabeli"/>
    <w:basedOn w:val="TYTDZOZNoznaczenietytuulubdziau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pPr>
      <w:suppressAutoHyphens/>
      <w:jc w:val="right"/>
    </w:pPr>
    <w:rPr>
      <w:rFonts w:ascii="Times New Roman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pPr>
      <w:suppressAutoHyphens/>
    </w:pPr>
    <w:rPr>
      <w:rFonts w:ascii="Times New Roman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pPr>
      <w:ind w:left="510" w:firstLine="0"/>
    </w:pPr>
  </w:style>
  <w:style w:type="paragraph" w:customStyle="1" w:styleId="NOTATKILEGISLATORA">
    <w:name w:val="NOTATKI_LEGISLATORA"/>
    <w:basedOn w:val="Normalny"/>
    <w:pPr>
      <w:spacing w:after="0" w:line="360" w:lineRule="auto"/>
      <w:jc w:val="left"/>
      <w:textAlignment w:val="auto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</w:style>
  <w:style w:type="paragraph" w:customStyle="1" w:styleId="TEKSTZacznikido">
    <w:name w:val="TEKST&quot;Załącznik(i) do ...&quot;"/>
    <w:pPr>
      <w:keepNext/>
      <w:suppressAutoHyphens/>
      <w:spacing w:after="240" w:line="240" w:lineRule="auto"/>
      <w:ind w:left="5670"/>
    </w:pPr>
    <w:rPr>
      <w:rFonts w:ascii="Times New Roman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</w:style>
  <w:style w:type="paragraph" w:customStyle="1" w:styleId="ZZFRAGzmianazmfragmentunpzdania">
    <w:name w:val="ZZ/FRAG – zmiana zm. fragmentu (np. zdania)"/>
    <w:basedOn w:val="ZZCZWSPPKTzmianazmczciwsppkt"/>
  </w:style>
  <w:style w:type="paragraph" w:customStyle="1" w:styleId="Z2TIRPKTzmpktpodwjnymtiret">
    <w:name w:val="Z_2TIR/PKT – zm. pkt podwójnym tiret"/>
    <w:basedOn w:val="Z2TIRLITzmlitpodwjnymtiret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pPr>
      <w:ind w:left="2767" w:firstLine="0"/>
    </w:pPr>
  </w:style>
  <w:style w:type="paragraph" w:customStyle="1" w:styleId="ZLITARTzmartliter">
    <w:name w:val="Z_LIT/ART(§) – zm. art. (§) literą"/>
    <w:basedOn w:val="ZLITUSTzmustliter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</w:style>
  <w:style w:type="paragraph" w:customStyle="1" w:styleId="ZLITKSIGIzmozniprzedmksigiliter">
    <w:name w:val="Z_LIT/KSIĘGI – zm. ozn. i przedm. księgi literą"/>
    <w:basedOn w:val="ZCZCIKSIGIzmozniprzedmczciksigiartykuempunktem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pPr>
      <w:ind w:left="1780"/>
    </w:pPr>
  </w:style>
  <w:style w:type="character" w:customStyle="1" w:styleId="IGindeksgrny">
    <w:name w:val="_IG_ – indeks górny"/>
    <w:basedOn w:val="Domylnaczcionkaakapitu"/>
    <w:rPr>
      <w:b w:val="0"/>
      <w:i w:val="0"/>
      <w:vanish w:val="0"/>
      <w:spacing w:val="0"/>
      <w:position w:val="0"/>
      <w:vertAlign w:val="superscript"/>
    </w:rPr>
  </w:style>
  <w:style w:type="character" w:customStyle="1" w:styleId="IDindeksdolny">
    <w:name w:val="_ID_ – indeks dolny"/>
    <w:basedOn w:val="Domylnaczcionkaakapitu"/>
    <w:rPr>
      <w:b w:val="0"/>
      <w:i w:val="0"/>
      <w:vanish w:val="0"/>
      <w:spacing w:val="0"/>
      <w:position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rPr>
      <w:b/>
      <w:vanish w:val="0"/>
      <w:spacing w:val="0"/>
      <w:position w:val="0"/>
      <w:vertAlign w:val="subscript"/>
    </w:rPr>
  </w:style>
  <w:style w:type="character" w:customStyle="1" w:styleId="IDKindeksdolnyikursywa">
    <w:name w:val="_ID_K_ – indeks dolny i kursywa"/>
    <w:basedOn w:val="Domylnaczcionkaakapitu"/>
    <w:rPr>
      <w:i/>
      <w:vanish w:val="0"/>
      <w:spacing w:val="0"/>
      <w:position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IGKindeksgrnyikursywa">
    <w:name w:val="_IG_K_ – indeks górny i kursywa"/>
    <w:basedOn w:val="Domylnaczcionkaakapitu"/>
    <w:rPr>
      <w:i/>
      <w:vanish w:val="0"/>
      <w:spacing w:val="0"/>
      <w:position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rPr>
      <w:b/>
      <w:i/>
      <w:vanish w:val="0"/>
      <w:spacing w:val="0"/>
      <w:position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rPr>
      <w:b/>
      <w:i/>
      <w:vanish w:val="0"/>
      <w:spacing w:val="0"/>
      <w:position w:val="0"/>
      <w:vertAlign w:val="subscript"/>
    </w:rPr>
  </w:style>
  <w:style w:type="character" w:customStyle="1" w:styleId="Ppogrubienie">
    <w:name w:val="_P_ – pogrubienie"/>
    <w:basedOn w:val="Domylnaczcionkaakapitu"/>
    <w:rPr>
      <w:b/>
    </w:rPr>
  </w:style>
  <w:style w:type="character" w:customStyle="1" w:styleId="Kkursywa">
    <w:name w:val="_K_ – kursywa"/>
    <w:basedOn w:val="Domylnaczcionkaakapitu"/>
    <w:rPr>
      <w:i/>
    </w:rPr>
  </w:style>
  <w:style w:type="character" w:customStyle="1" w:styleId="PKpogrubieniekursywa">
    <w:name w:val="_P_K_ – pogrubienie kursywa"/>
    <w:basedOn w:val="Domylnaczcionkaakapitu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rPr>
      <w:b w:val="0"/>
      <w:i w:val="0"/>
      <w:vanish w:val="0"/>
      <w:spacing w:val="0"/>
      <w:position w:val="0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pPr>
      <w:widowControl/>
      <w:autoSpaceDE/>
      <w:spacing w:after="0"/>
      <w:ind w:left="283" w:hanging="170"/>
      <w:jc w:val="left"/>
      <w:textAlignment w:val="auto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pPr>
      <w:widowControl/>
      <w:spacing w:after="0" w:line="360" w:lineRule="auto"/>
      <w:ind w:firstLine="510"/>
      <w:jc w:val="left"/>
      <w:textAlignment w:val="auto"/>
    </w:pPr>
    <w:rPr>
      <w:rFonts w:ascii="Times" w:hAnsi="Times"/>
      <w:bCs/>
      <w:kern w:val="3"/>
    </w:rPr>
  </w:style>
  <w:style w:type="paragraph" w:customStyle="1" w:styleId="TEKSTwTABELIWYRODKOWANYtekstwyrodkowanywpoziomie">
    <w:name w:val="TEKST_w_TABELI_WYŚRODKOWANY – tekst wyśrodkowany w poziomie"/>
    <w:basedOn w:val="Normalny"/>
    <w:pPr>
      <w:widowControl/>
      <w:spacing w:after="0" w:line="360" w:lineRule="auto"/>
      <w:jc w:val="center"/>
      <w:textAlignment w:val="auto"/>
    </w:pPr>
    <w:rPr>
      <w:rFonts w:ascii="Times" w:hAnsi="Times"/>
      <w:bCs/>
      <w:kern w:val="3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pPr>
      <w:ind w:left="2291" w:firstLine="0"/>
    </w:pPr>
  </w:style>
  <w:style w:type="paragraph" w:customStyle="1" w:styleId="WMATFIZCHEMwzrmatfizlubchem">
    <w:name w:val="W_MAT(FIZ|CHEM) – wzór mat. (fiz. lub chem.)"/>
    <w:pPr>
      <w:suppressAutoHyphens/>
      <w:jc w:val="center"/>
    </w:pPr>
    <w:rPr>
      <w:rFonts w:ascii="Times New Roman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pPr>
      <w:ind w:left="1780"/>
    </w:pPr>
  </w:style>
  <w:style w:type="character" w:styleId="Tekstzastpczy">
    <w:name w:val="Placeholder Text"/>
    <w:basedOn w:val="Domylnaczcionkaakapitu"/>
    <w:rPr>
      <w:color w:val="808080"/>
    </w:rPr>
  </w:style>
  <w:style w:type="paragraph" w:styleId="Akapitzlist">
    <w:name w:val="List Paragraph"/>
    <w:basedOn w:val="Normalny"/>
    <w:pPr>
      <w:suppressAutoHyphens w:val="0"/>
      <w:autoSpaceDE/>
      <w:spacing w:after="0" w:line="276" w:lineRule="auto"/>
      <w:ind w:left="720"/>
      <w:textAlignment w:val="auto"/>
    </w:pPr>
    <w:rPr>
      <w:rFonts w:eastAsia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E w:val="0"/>
      <w:spacing w:after="120" w:line="240" w:lineRule="auto"/>
      <w:jc w:val="both"/>
    </w:pPr>
    <w:rPr>
      <w:rFonts w:ascii="Times New Roman" w:hAnsi="Times New Roman" w:cs="Arial"/>
      <w:szCs w:val="20"/>
    </w:rPr>
  </w:style>
  <w:style w:type="paragraph" w:styleId="Nagwek1">
    <w:name w:val="heading 1"/>
    <w:basedOn w:val="Normalny"/>
    <w:next w:val="Normalny"/>
    <w:pPr>
      <w:keepNext/>
      <w:keepLines/>
      <w:autoSpaceDE/>
      <w:spacing w:before="480" w:after="0" w:line="360" w:lineRule="auto"/>
      <w:jc w:val="left"/>
      <w:textAlignment w:val="auto"/>
      <w:outlineLvl w:val="0"/>
    </w:pPr>
    <w:rPr>
      <w:rFonts w:ascii="Cambria" w:hAnsi="Cambria" w:cs="Times New Roman"/>
      <w:b/>
      <w:bCs/>
      <w:color w:val="365F91"/>
      <w:kern w:val="3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pPr>
      <w:ind w:left="1021"/>
    </w:pPr>
  </w:style>
  <w:style w:type="paragraph" w:customStyle="1" w:styleId="2TIRpodwjnytiret">
    <w:name w:val="2TIR – podwójny tiret"/>
    <w:basedOn w:val="TIRtiret"/>
    <w:pPr>
      <w:ind w:left="1780"/>
    </w:p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autoSpaceDE/>
      <w:spacing w:after="0" w:line="360" w:lineRule="auto"/>
      <w:jc w:val="left"/>
      <w:textAlignment w:val="auto"/>
    </w:pPr>
    <w:rPr>
      <w:rFonts w:ascii="Times" w:hAnsi="Times" w:cs="Times New Roman"/>
      <w:kern w:val="3"/>
      <w:szCs w:val="24"/>
      <w:lang w:eastAsia="ar-SA"/>
    </w:rPr>
  </w:style>
  <w:style w:type="character" w:customStyle="1" w:styleId="NagwekZnak">
    <w:name w:val="Nagłówek Znak"/>
    <w:uiPriority w:val="99"/>
    <w:rPr>
      <w:rFonts w:eastAsia="Times New Roman" w:cs="Arial"/>
      <w:kern w:val="3"/>
      <w:sz w:val="20"/>
      <w:szCs w:val="20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autoSpaceDE/>
      <w:spacing w:after="0" w:line="360" w:lineRule="auto"/>
      <w:jc w:val="left"/>
      <w:textAlignment w:val="auto"/>
    </w:pPr>
    <w:rPr>
      <w:rFonts w:ascii="Times" w:hAnsi="Times" w:cs="Times New Roman"/>
      <w:kern w:val="3"/>
      <w:szCs w:val="24"/>
      <w:lang w:eastAsia="ar-SA"/>
    </w:rPr>
  </w:style>
  <w:style w:type="character" w:customStyle="1" w:styleId="StopkaZnak">
    <w:name w:val="Stopka Znak"/>
    <w:rPr>
      <w:rFonts w:eastAsia="Times New Roman" w:cs="Arial"/>
      <w:kern w:val="3"/>
      <w:sz w:val="20"/>
      <w:szCs w:val="20"/>
      <w:lang w:eastAsia="ar-SA"/>
    </w:rPr>
  </w:style>
  <w:style w:type="paragraph" w:styleId="Tekstdymka">
    <w:name w:val="Balloon Text"/>
    <w:basedOn w:val="Normalny"/>
    <w:pPr>
      <w:autoSpaceDE/>
      <w:spacing w:after="0" w:line="360" w:lineRule="auto"/>
      <w:jc w:val="left"/>
      <w:textAlignment w:val="auto"/>
    </w:pPr>
    <w:rPr>
      <w:rFonts w:ascii="Tahoma" w:hAnsi="Tahoma" w:cs="Tahoma"/>
      <w:kern w:val="3"/>
      <w:szCs w:val="16"/>
      <w:lang w:eastAsia="ar-SA"/>
    </w:rPr>
  </w:style>
  <w:style w:type="character" w:customStyle="1" w:styleId="TekstdymkaZnak">
    <w:name w:val="Tekst dymka Znak"/>
    <w:rPr>
      <w:rFonts w:ascii="Tahoma" w:eastAsia="Times New Roman" w:hAnsi="Tahoma" w:cs="Tahoma"/>
      <w:kern w:val="3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pPr>
      <w:suppressAutoHyphens/>
      <w:autoSpaceDE w:val="0"/>
      <w:spacing w:before="120"/>
      <w:ind w:firstLine="510"/>
      <w:jc w:val="both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pPr>
      <w:ind w:left="1497"/>
    </w:pPr>
  </w:style>
  <w:style w:type="paragraph" w:customStyle="1" w:styleId="ZTIRwLITzmtirwlitartykuempunktem">
    <w:name w:val="Z/TIR_w_LIT – zm. tir. w lit. artykułem (punktem)"/>
    <w:basedOn w:val="TIRtiret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ar-SA"/>
    </w:rPr>
  </w:style>
  <w:style w:type="paragraph" w:styleId="Bezodstpw">
    <w:name w:val="No Spacing"/>
    <w:pPr>
      <w:widowControl w:val="0"/>
      <w:suppressAutoHyphens/>
    </w:pPr>
    <w:rPr>
      <w:kern w:val="3"/>
      <w:lang w:eastAsia="ar-SA"/>
    </w:rPr>
  </w:style>
  <w:style w:type="paragraph" w:customStyle="1" w:styleId="ZPKTzmpktartykuempunktem">
    <w:name w:val="Z/PKT – zm. pkt artykułem (punktem)"/>
    <w:basedOn w:val="PKTpunkt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pPr>
      <w:keepNext/>
      <w:suppressAutoHyphens/>
      <w:spacing w:before="120" w:after="120"/>
      <w:jc w:val="center"/>
    </w:pPr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pPr>
      <w:keepNext/>
      <w:suppressAutoHyphens/>
      <w:spacing w:before="120" w:after="360"/>
      <w:jc w:val="center"/>
    </w:pPr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pPr>
      <w:keepNext/>
      <w:suppressAutoHyphens/>
      <w:spacing w:before="120"/>
      <w:jc w:val="center"/>
    </w:pPr>
    <w:rPr>
      <w:b/>
      <w:bCs/>
      <w:caps/>
      <w:kern w:val="3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pPr>
      <w:keepNext/>
      <w:suppressAutoHyphens/>
      <w:spacing w:after="120"/>
      <w:jc w:val="center"/>
    </w:pPr>
    <w:rPr>
      <w:b/>
      <w:bCs/>
      <w:caps/>
      <w:spacing w:val="54"/>
      <w:kern w:val="3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ind w:left="510" w:hanging="510"/>
      <w:jc w:val="both"/>
    </w:pPr>
    <w:rPr>
      <w:rFonts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pPr>
      <w:ind w:left="0" w:firstLine="0"/>
    </w:p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pPr>
      <w:keepNext/>
      <w:suppressAutoHyphens/>
      <w:spacing w:before="120"/>
      <w:jc w:val="center"/>
    </w:pPr>
    <w:rPr>
      <w:b/>
      <w:bCs/>
    </w:rPr>
  </w:style>
  <w:style w:type="paragraph" w:customStyle="1" w:styleId="ZLITzmlitartykuempunktem">
    <w:name w:val="Z/LIT – zm. lit. artykułem (punktem)"/>
    <w:basedOn w:val="LITliter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pPr>
      <w:ind w:left="1463"/>
    </w:pPr>
  </w:style>
  <w:style w:type="paragraph" w:customStyle="1" w:styleId="ZLITTIRwLITzmtirwlitliter">
    <w:name w:val="Z_LIT/TIR_w_LIT – zm. tir. w lit. literą"/>
    <w:basedOn w:val="TIRtiret"/>
    <w:pPr>
      <w:ind w:left="1860"/>
    </w:pPr>
  </w:style>
  <w:style w:type="paragraph" w:customStyle="1" w:styleId="TYTDZOZNoznaczenietytuulubdziau">
    <w:name w:val="TYT(DZ)_OZN – oznaczenie tytułu lub działu"/>
    <w:next w:val="Normalny"/>
    <w:pPr>
      <w:keepNext/>
      <w:suppressAutoHyphens/>
      <w:spacing w:before="120"/>
      <w:jc w:val="center"/>
    </w:pPr>
    <w:rPr>
      <w:rFonts w:cs="Arial"/>
      <w:bCs/>
      <w:caps/>
      <w:kern w:val="3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pPr>
      <w:ind w:left="510"/>
    </w:pPr>
  </w:style>
  <w:style w:type="paragraph" w:customStyle="1" w:styleId="ZZLITzmianazmlit">
    <w:name w:val="ZZ/LIT – zmiana zm. lit."/>
    <w:basedOn w:val="ZZPKTzmianazmpkt"/>
    <w:pPr>
      <w:ind w:left="2370" w:hanging="476"/>
    </w:pPr>
  </w:style>
  <w:style w:type="paragraph" w:customStyle="1" w:styleId="ZZTIRzmianazmtir">
    <w:name w:val="ZZ/TIR – zmiana zm. tir."/>
    <w:basedOn w:val="ZZLITzmianazmlit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pPr>
      <w:keepNext/>
      <w:suppressAutoHyphens/>
      <w:ind w:left="510"/>
      <w:jc w:val="center"/>
    </w:pPr>
    <w:rPr>
      <w:rFonts w:cs="Arial"/>
      <w:bCs/>
      <w:kern w:val="3"/>
    </w:rPr>
  </w:style>
  <w:style w:type="paragraph" w:customStyle="1" w:styleId="ZLITUSTzmustliter">
    <w:name w:val="Z_LIT/UST(§) – zm. ust. (§) literą"/>
    <w:basedOn w:val="USTustnpkodeksu"/>
    <w:pPr>
      <w:ind w:left="987"/>
    </w:pPr>
  </w:style>
  <w:style w:type="paragraph" w:customStyle="1" w:styleId="ZLITPKTzmpktliter">
    <w:name w:val="Z_LIT/PKT – zm. pkt literą"/>
    <w:basedOn w:val="PKTpunkt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pPr>
      <w:ind w:firstLine="0"/>
    </w:pPr>
  </w:style>
  <w:style w:type="paragraph" w:customStyle="1" w:styleId="ZLITLITzmlitliter">
    <w:name w:val="Z_LIT/LIT – zm. lit. literą"/>
    <w:basedOn w:val="LITliter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pPr>
      <w:ind w:left="987"/>
    </w:pPr>
  </w:style>
  <w:style w:type="paragraph" w:customStyle="1" w:styleId="ZLITTIRzmtirliter">
    <w:name w:val="Z_LIT/TIR – zm. tir. literą"/>
    <w:basedOn w:val="TIRtiret"/>
  </w:style>
  <w:style w:type="paragraph" w:customStyle="1" w:styleId="ZZCZWSPLITwPKTzmianazmczciwsplitwpkt">
    <w:name w:val="ZZ/CZ_WSP_LIT_w_PKT – zmiana zm. części wsp. lit. w pkt"/>
    <w:basedOn w:val="ZZLITwPKTzmianazmlitwpkt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pPr>
      <w:ind w:left="1497"/>
    </w:pPr>
  </w:style>
  <w:style w:type="paragraph" w:customStyle="1" w:styleId="ZLITTIRwPKTzmtirwpktliter">
    <w:name w:val="Z_LIT/TIR_w_PKT – zm. tir. w pkt literą"/>
    <w:basedOn w:val="TIRtiret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pPr>
      <w:ind w:left="1973"/>
    </w:pPr>
  </w:style>
  <w:style w:type="paragraph" w:styleId="Tekstprzypisudolnego">
    <w:name w:val="footnote text"/>
    <w:basedOn w:val="Normalny"/>
    <w:pPr>
      <w:spacing w:after="0" w:line="360" w:lineRule="auto"/>
      <w:jc w:val="left"/>
      <w:textAlignment w:val="auto"/>
    </w:pPr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rPr>
      <w:sz w:val="20"/>
    </w:rPr>
  </w:style>
  <w:style w:type="paragraph" w:customStyle="1" w:styleId="ZTIRLITzmlittiret">
    <w:name w:val="Z_TIR/LIT – zm. lit. tiret"/>
    <w:basedOn w:val="LITliter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pPr>
      <w:ind w:left="1383"/>
    </w:pPr>
  </w:style>
  <w:style w:type="paragraph" w:customStyle="1" w:styleId="ZTIRTIRzmtirtiret">
    <w:name w:val="Z_TIR/TIR – zm. tir. tiret"/>
    <w:basedOn w:val="TIRtiret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pPr>
      <w:ind w:left="2767"/>
    </w:pPr>
  </w:style>
  <w:style w:type="paragraph" w:customStyle="1" w:styleId="ZTIRTIRwLITzmtirwlittiret">
    <w:name w:val="Z_TIR/TIR_w_LIT – zm. tir. w lit. tiret"/>
    <w:basedOn w:val="TIRtiret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pPr>
      <w:ind w:left="1780"/>
    </w:pPr>
  </w:style>
  <w:style w:type="paragraph" w:customStyle="1" w:styleId="Z2TIRzmpodwtirartykuempunktem">
    <w:name w:val="Z/2TIR – zm. podw. tir. artykułem (punktem)"/>
    <w:basedOn w:val="TIRtiret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pPr>
      <w:ind w:left="2370" w:firstLine="0"/>
    </w:pPr>
  </w:style>
  <w:style w:type="paragraph" w:customStyle="1" w:styleId="ZLIT2TIRzmpodwtirliter">
    <w:name w:val="Z_LIT/2TIR – zm. podw. tir. literą"/>
    <w:basedOn w:val="TIRtiret"/>
  </w:style>
  <w:style w:type="paragraph" w:customStyle="1" w:styleId="ZTIR2TIRzmpodwtirtiret">
    <w:name w:val="Z_TIR/2TIR – zm. podw. tir. tiret"/>
    <w:basedOn w:val="TIRtiret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pPr>
      <w:ind w:left="2291"/>
    </w:pPr>
  </w:style>
  <w:style w:type="paragraph" w:customStyle="1" w:styleId="ZTIRPKTzmpkttiret">
    <w:name w:val="Z_TIR/PKT – zm. pkt tiret"/>
    <w:basedOn w:val="PKTpunkt"/>
    <w:pPr>
      <w:ind w:left="1893"/>
    </w:p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pPr>
      <w:ind w:left="1860"/>
    </w:pPr>
  </w:style>
  <w:style w:type="paragraph" w:customStyle="1" w:styleId="ZTIR2TIRwLITzmpodwtirwlittiret">
    <w:name w:val="Z_TIR/2TIR_w_LIT – zm. podw. tir. w lit. tiret"/>
    <w:basedOn w:val="TIRtiret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pPr>
      <w:ind w:left="2257"/>
    </w:pPr>
  </w:style>
  <w:style w:type="paragraph" w:customStyle="1" w:styleId="ZTIR2TIRwTIRzmpodwtirwtirtiret">
    <w:name w:val="Z_TIR/2TIR_w_TIR – zm. podw. tir. w tir. tiret"/>
    <w:basedOn w:val="TIRtiret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pPr>
      <w:ind w:left="1780"/>
    </w:pPr>
  </w:style>
  <w:style w:type="paragraph" w:customStyle="1" w:styleId="Z2TIRLITzmlitpodwjnymtiret">
    <w:name w:val="Z_2TIR/LIT – zm. lit. podwójnym tiret"/>
    <w:basedOn w:val="LITliter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after="0" w:line="360" w:lineRule="auto"/>
      <w:jc w:val="left"/>
      <w:textAlignment w:val="auto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pPr>
      <w:ind w:left="1894"/>
    </w:pPr>
  </w:style>
  <w:style w:type="paragraph" w:customStyle="1" w:styleId="ZZPKTzmianazmpkt">
    <w:name w:val="ZZ/PKT – zmiana zm. pkt"/>
    <w:basedOn w:val="ZPKTzmpktartykuempunktem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pPr>
      <w:ind w:left="2404"/>
    </w:pPr>
  </w:style>
  <w:style w:type="paragraph" w:customStyle="1" w:styleId="ODNONIKtreodnonika">
    <w:name w:val="ODNOŚNIK – treść odnośnika"/>
    <w:pPr>
      <w:suppressAutoHyphens/>
      <w:spacing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pPr>
      <w:keepNext/>
      <w:suppressAutoHyphens/>
      <w:spacing w:before="120"/>
      <w:jc w:val="center"/>
    </w:pPr>
    <w:rPr>
      <w:rFonts w:cs="Arial"/>
      <w:bCs/>
      <w:kern w:val="3"/>
    </w:rPr>
  </w:style>
  <w:style w:type="paragraph" w:customStyle="1" w:styleId="Z2TIR2TIRzmpodwtirpodwjnymtiret">
    <w:name w:val="Z_2TIR/2TIR – zm. podw. tir. podwójnym tiret"/>
    <w:basedOn w:val="TIRtiret"/>
    <w:pPr>
      <w:ind w:left="2177"/>
    </w:pPr>
  </w:style>
  <w:style w:type="paragraph" w:customStyle="1" w:styleId="Z2TIRTIRzmtirpodwjnymtiret">
    <w:name w:val="Z_2TIR/TIR – zm. tir. podwójnym tiret"/>
    <w:basedOn w:val="TIRtiret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</w:style>
  <w:style w:type="paragraph" w:customStyle="1" w:styleId="ZLIT2TIRwTIRzmpodwtirwtirliter">
    <w:name w:val="Z_LIT/2TIR_w_TIR – zm. podw. tir. w tir. literą"/>
    <w:basedOn w:val="ZLIT2TIRzmpodwtirliter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</w:style>
  <w:style w:type="paragraph" w:customStyle="1" w:styleId="ZZ2TIRzmianazmpodwtir">
    <w:name w:val="ZZ/2TIR – zmiana zm. podw. tir."/>
    <w:basedOn w:val="ZZCZWSP2TIRzmianazmczciwsppodwtir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</w:style>
  <w:style w:type="paragraph" w:customStyle="1" w:styleId="ZLITCZWSPLITzmczciwsplitliter">
    <w:name w:val="Z_LIT/CZ_WSP_LIT – zm. części wsp. lit. literą"/>
    <w:basedOn w:val="ZLITCZWSPPKTzmczciwsppktliter"/>
    <w:next w:val="LITlitera"/>
  </w:style>
  <w:style w:type="paragraph" w:customStyle="1" w:styleId="ZLITCZWSPTIRzmczciwsptirliter">
    <w:name w:val="Z_LIT/CZ_WSP_TIR – zm. części wsp. tir. literą"/>
    <w:basedOn w:val="ZLITCZWSPPKTzmczciwsppktliter"/>
    <w:next w:val="LITlitera"/>
  </w:style>
  <w:style w:type="paragraph" w:customStyle="1" w:styleId="ZTIRCZWSPLITzmczciwsplittiret">
    <w:name w:val="Z_TIR/CZ_WSP_LIT – zm. części wsp. lit. tiret"/>
    <w:basedOn w:val="ZTIRCZWSPPKTzmczciwsppkttiret"/>
    <w:next w:val="TIRtiret"/>
  </w:style>
  <w:style w:type="paragraph" w:customStyle="1" w:styleId="ZTIRCZWSPTIRzmczciwsptirtiret">
    <w:name w:val="Z_TIR/CZ_WSP_TIR – zm. części wsp. tir. tiret"/>
    <w:basedOn w:val="ZTIRCZWSPPKTzmczciwsppkttiret"/>
    <w:next w:val="TIRtiret"/>
  </w:style>
  <w:style w:type="paragraph" w:customStyle="1" w:styleId="ZZCZWSPLITzmianazmczciwsplit">
    <w:name w:val="ZZ/CZ_WSP_LIT – zmiana. zm. części wsp. lit."/>
    <w:basedOn w:val="ZZCZWSPPKTzmianazmczciwsppkt"/>
  </w:style>
  <w:style w:type="paragraph" w:customStyle="1" w:styleId="ZZCZWSPTIRzmianazmczciwsptir">
    <w:name w:val="ZZ/CZ_WSP_TIR – zmiana. zm. części wsp. tir."/>
    <w:basedOn w:val="ZZCZWSPPKTzmianazmczciwsppkt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ZZUSTzmianazmust">
    <w:name w:val="ZZ/UST(§) – zmiana zm. ust. (§)"/>
    <w:basedOn w:val="ZZARTzmianazmart"/>
  </w:style>
  <w:style w:type="paragraph" w:customStyle="1" w:styleId="TYTDZPRZEDMprzedmiotregulacjitytuulubdziau">
    <w:name w:val="TYT(DZ)_PRZEDM – przedmiot regulacji tytułu lub działu"/>
    <w:next w:val="ARTartustawynprozporzdzeni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pPr>
      <w:ind w:left="1894"/>
    </w:pPr>
  </w:style>
  <w:style w:type="paragraph" w:customStyle="1" w:styleId="P1wTABELIpoziom1numeracjiwtabeli">
    <w:name w:val="P1_w_TABELI – poziom 1 numeracji w tabeli"/>
    <w:basedOn w:val="PKTpunkt"/>
    <w:pPr>
      <w:ind w:left="397" w:hanging="397"/>
    </w:pPr>
    <w:rPr>
      <w:kern w:val="3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pPr>
      <w:ind w:left="1588"/>
    </w:pPr>
  </w:style>
  <w:style w:type="paragraph" w:customStyle="1" w:styleId="TYTTABELItytutabeli">
    <w:name w:val="TYT_TABELI – tytuł tabeli"/>
    <w:basedOn w:val="TYTDZOZNoznaczenietytuulubdziau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pPr>
      <w:suppressAutoHyphens/>
      <w:jc w:val="right"/>
    </w:pPr>
    <w:rPr>
      <w:rFonts w:ascii="Times New Roman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pPr>
      <w:suppressAutoHyphens/>
    </w:pPr>
    <w:rPr>
      <w:rFonts w:ascii="Times New Roman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pPr>
      <w:ind w:left="510" w:firstLine="0"/>
    </w:pPr>
  </w:style>
  <w:style w:type="paragraph" w:customStyle="1" w:styleId="NOTATKILEGISLATORA">
    <w:name w:val="NOTATKI_LEGISLATORA"/>
    <w:basedOn w:val="Normalny"/>
    <w:pPr>
      <w:spacing w:after="0" w:line="360" w:lineRule="auto"/>
      <w:jc w:val="left"/>
      <w:textAlignment w:val="auto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</w:style>
  <w:style w:type="paragraph" w:customStyle="1" w:styleId="TEKSTZacznikido">
    <w:name w:val="TEKST&quot;Załącznik(i) do ...&quot;"/>
    <w:pPr>
      <w:keepNext/>
      <w:suppressAutoHyphens/>
      <w:spacing w:after="240" w:line="240" w:lineRule="auto"/>
      <w:ind w:left="5670"/>
    </w:pPr>
    <w:rPr>
      <w:rFonts w:ascii="Times New Roman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</w:style>
  <w:style w:type="paragraph" w:customStyle="1" w:styleId="ZZFRAGzmianazmfragmentunpzdania">
    <w:name w:val="ZZ/FRAG – zmiana zm. fragmentu (np. zdania)"/>
    <w:basedOn w:val="ZZCZWSPPKTzmianazmczciwsppkt"/>
  </w:style>
  <w:style w:type="paragraph" w:customStyle="1" w:styleId="Z2TIRPKTzmpktpodwjnymtiret">
    <w:name w:val="Z_2TIR/PKT – zm. pkt podwójnym tiret"/>
    <w:basedOn w:val="Z2TIRLITzmlitpodwjnymtiret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pPr>
      <w:ind w:left="2767" w:firstLine="0"/>
    </w:pPr>
  </w:style>
  <w:style w:type="paragraph" w:customStyle="1" w:styleId="ZLITARTzmartliter">
    <w:name w:val="Z_LIT/ART(§) – zm. art. (§) literą"/>
    <w:basedOn w:val="ZLITUSTzmustliter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</w:style>
  <w:style w:type="paragraph" w:customStyle="1" w:styleId="ZLITKSIGIzmozniprzedmksigiliter">
    <w:name w:val="Z_LIT/KSIĘGI – zm. ozn. i przedm. księgi literą"/>
    <w:basedOn w:val="ZCZCIKSIGIzmozniprzedmczciksigiartykuempunktem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pPr>
      <w:ind w:left="1780"/>
    </w:pPr>
  </w:style>
  <w:style w:type="character" w:customStyle="1" w:styleId="IGindeksgrny">
    <w:name w:val="_IG_ – indeks górny"/>
    <w:basedOn w:val="Domylnaczcionkaakapitu"/>
    <w:rPr>
      <w:b w:val="0"/>
      <w:i w:val="0"/>
      <w:vanish w:val="0"/>
      <w:spacing w:val="0"/>
      <w:position w:val="0"/>
      <w:vertAlign w:val="superscript"/>
    </w:rPr>
  </w:style>
  <w:style w:type="character" w:customStyle="1" w:styleId="IDindeksdolny">
    <w:name w:val="_ID_ – indeks dolny"/>
    <w:basedOn w:val="Domylnaczcionkaakapitu"/>
    <w:rPr>
      <w:b w:val="0"/>
      <w:i w:val="0"/>
      <w:vanish w:val="0"/>
      <w:spacing w:val="0"/>
      <w:position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rPr>
      <w:b/>
      <w:vanish w:val="0"/>
      <w:spacing w:val="0"/>
      <w:position w:val="0"/>
      <w:vertAlign w:val="subscript"/>
    </w:rPr>
  </w:style>
  <w:style w:type="character" w:customStyle="1" w:styleId="IDKindeksdolnyikursywa">
    <w:name w:val="_ID_K_ – indeks dolny i kursywa"/>
    <w:basedOn w:val="Domylnaczcionkaakapitu"/>
    <w:rPr>
      <w:i/>
      <w:vanish w:val="0"/>
      <w:spacing w:val="0"/>
      <w:position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IGKindeksgrnyikursywa">
    <w:name w:val="_IG_K_ – indeks górny i kursywa"/>
    <w:basedOn w:val="Domylnaczcionkaakapitu"/>
    <w:rPr>
      <w:i/>
      <w:vanish w:val="0"/>
      <w:spacing w:val="0"/>
      <w:position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rPr>
      <w:b/>
      <w:i/>
      <w:vanish w:val="0"/>
      <w:spacing w:val="0"/>
      <w:position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rPr>
      <w:b/>
      <w:i/>
      <w:vanish w:val="0"/>
      <w:spacing w:val="0"/>
      <w:position w:val="0"/>
      <w:vertAlign w:val="subscript"/>
    </w:rPr>
  </w:style>
  <w:style w:type="character" w:customStyle="1" w:styleId="Ppogrubienie">
    <w:name w:val="_P_ – pogrubienie"/>
    <w:basedOn w:val="Domylnaczcionkaakapitu"/>
    <w:rPr>
      <w:b/>
    </w:rPr>
  </w:style>
  <w:style w:type="character" w:customStyle="1" w:styleId="Kkursywa">
    <w:name w:val="_K_ – kursywa"/>
    <w:basedOn w:val="Domylnaczcionkaakapitu"/>
    <w:rPr>
      <w:i/>
    </w:rPr>
  </w:style>
  <w:style w:type="character" w:customStyle="1" w:styleId="PKpogrubieniekursywa">
    <w:name w:val="_P_K_ – pogrubienie kursywa"/>
    <w:basedOn w:val="Domylnaczcionkaakapitu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rPr>
      <w:b w:val="0"/>
      <w:i w:val="0"/>
      <w:vanish w:val="0"/>
      <w:spacing w:val="0"/>
      <w:position w:val="0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pPr>
      <w:widowControl/>
      <w:autoSpaceDE/>
      <w:spacing w:after="0"/>
      <w:ind w:left="283" w:hanging="170"/>
      <w:jc w:val="left"/>
      <w:textAlignment w:val="auto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pPr>
      <w:widowControl/>
      <w:spacing w:after="0" w:line="360" w:lineRule="auto"/>
      <w:ind w:firstLine="510"/>
      <w:jc w:val="left"/>
      <w:textAlignment w:val="auto"/>
    </w:pPr>
    <w:rPr>
      <w:rFonts w:ascii="Times" w:hAnsi="Times"/>
      <w:bCs/>
      <w:kern w:val="3"/>
    </w:rPr>
  </w:style>
  <w:style w:type="paragraph" w:customStyle="1" w:styleId="TEKSTwTABELIWYRODKOWANYtekstwyrodkowanywpoziomie">
    <w:name w:val="TEKST_w_TABELI_WYŚRODKOWANY – tekst wyśrodkowany w poziomie"/>
    <w:basedOn w:val="Normalny"/>
    <w:pPr>
      <w:widowControl/>
      <w:spacing w:after="0" w:line="360" w:lineRule="auto"/>
      <w:jc w:val="center"/>
      <w:textAlignment w:val="auto"/>
    </w:pPr>
    <w:rPr>
      <w:rFonts w:ascii="Times" w:hAnsi="Times"/>
      <w:bCs/>
      <w:kern w:val="3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pPr>
      <w:ind w:left="2291" w:firstLine="0"/>
    </w:pPr>
  </w:style>
  <w:style w:type="paragraph" w:customStyle="1" w:styleId="WMATFIZCHEMwzrmatfizlubchem">
    <w:name w:val="W_MAT(FIZ|CHEM) – wzór mat. (fiz. lub chem.)"/>
    <w:pPr>
      <w:suppressAutoHyphens/>
      <w:jc w:val="center"/>
    </w:pPr>
    <w:rPr>
      <w:rFonts w:ascii="Times New Roman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pPr>
      <w:ind w:left="1780"/>
    </w:pPr>
  </w:style>
  <w:style w:type="character" w:styleId="Tekstzastpczy">
    <w:name w:val="Placeholder Text"/>
    <w:basedOn w:val="Domylnaczcionkaakapitu"/>
    <w:rPr>
      <w:color w:val="808080"/>
    </w:rPr>
  </w:style>
  <w:style w:type="paragraph" w:styleId="Akapitzlist">
    <w:name w:val="List Paragraph"/>
    <w:basedOn w:val="Normalny"/>
    <w:pPr>
      <w:suppressAutoHyphens w:val="0"/>
      <w:autoSpaceDE/>
      <w:spacing w:after="0" w:line="276" w:lineRule="auto"/>
      <w:ind w:left="720"/>
      <w:textAlignment w:val="auto"/>
    </w:pPr>
    <w:rPr>
      <w:rFonts w:eastAsia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lab\Documents\Szablon%20aktu%20prawnego%204_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</Pages>
  <Words>1137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Porzycka Magdalena</dc:creator>
  <cp:lastModifiedBy>Głąb Ewelina</cp:lastModifiedBy>
  <cp:revision>3</cp:revision>
  <cp:lastPrinted>2012-04-23T06:39:00Z</cp:lastPrinted>
  <dcterms:created xsi:type="dcterms:W3CDTF">2017-09-28T07:47:00Z</dcterms:created>
  <dcterms:modified xsi:type="dcterms:W3CDTF">2017-09-28T07:54:00Z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